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jc w:val="left"/>
        <w:textAlignment w:val="baseline"/>
        <w:rPr>
          <w:rFonts w:hint="default" w:ascii="Arial" w:hAnsi="Arial" w:eastAsia="宋体" w:cs="Arial"/>
          <w:b/>
          <w:kern w:val="0"/>
          <w:sz w:val="24"/>
          <w:szCs w:val="24"/>
          <w:lang w:val="en-US" w:eastAsia="zh-CN"/>
        </w:rPr>
      </w:pPr>
      <w:bookmarkStart w:id="0" w:name="_GoBack"/>
      <w:bookmarkEnd w:id="0"/>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20</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R2-22</w:t>
      </w:r>
      <w:r>
        <w:rPr>
          <w:rFonts w:hint="eastAsia" w:ascii="Arial" w:hAnsi="Arial" w:eastAsia="宋体" w:cs="Arial"/>
          <w:b/>
          <w:kern w:val="0"/>
          <w:sz w:val="22"/>
          <w:lang w:val="en-US" w:eastAsia="zh-CN"/>
        </w:rPr>
        <w:t>12619</w:t>
      </w:r>
    </w:p>
    <w:p>
      <w:pPr>
        <w:overflowPunct w:val="0"/>
        <w:autoSpaceDE w:val="0"/>
        <w:autoSpaceDN w:val="0"/>
        <w:adjustRightInd w:val="0"/>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lang w:val="en-US" w:eastAsia="zh-CN"/>
        </w:rPr>
        <w:t>Toulouse</w:t>
      </w:r>
      <w:r>
        <w:rPr>
          <w:rFonts w:ascii="Arial" w:hAnsi="Arial" w:eastAsia="宋体" w:cs="Arial"/>
          <w:b/>
          <w:bCs/>
          <w:kern w:val="0"/>
          <w:sz w:val="24"/>
          <w:szCs w:val="24"/>
          <w:lang w:val="en-GB"/>
        </w:rPr>
        <w:t>,</w:t>
      </w:r>
      <w:r>
        <w:rPr>
          <w:rFonts w:hint="eastAsia" w:ascii="Arial" w:hAnsi="Arial" w:eastAsia="宋体" w:cs="Arial"/>
          <w:b/>
          <w:bCs/>
          <w:kern w:val="0"/>
          <w:sz w:val="24"/>
          <w:szCs w:val="24"/>
          <w:lang w:val="en-US" w:eastAsia="zh-CN"/>
        </w:rPr>
        <w:t xml:space="preserve"> France,</w:t>
      </w:r>
      <w:r>
        <w:rPr>
          <w:rFonts w:ascii="Arial" w:hAnsi="Arial" w:eastAsia="宋体" w:cs="Arial"/>
          <w:b/>
          <w:bCs/>
          <w:kern w:val="0"/>
          <w:sz w:val="24"/>
          <w:szCs w:val="24"/>
          <w:lang w:val="en-GB"/>
        </w:rPr>
        <w:t xml:space="preserve"> 1</w:t>
      </w:r>
      <w:r>
        <w:rPr>
          <w:rFonts w:hint="eastAsia" w:ascii="Arial" w:hAnsi="Arial" w:eastAsia="宋体" w:cs="Arial"/>
          <w:b/>
          <w:bCs/>
          <w:kern w:val="0"/>
          <w:sz w:val="24"/>
          <w:szCs w:val="24"/>
          <w:lang w:val="en-US" w:eastAsia="zh-CN"/>
        </w:rPr>
        <w:t>4</w:t>
      </w:r>
      <w:r>
        <w:rPr>
          <w:rFonts w:ascii="Arial" w:hAnsi="Arial" w:eastAsia="宋体" w:cs="Arial"/>
          <w:b/>
          <w:bCs/>
          <w:kern w:val="0"/>
          <w:sz w:val="24"/>
          <w:szCs w:val="24"/>
          <w:lang w:val="en-GB"/>
        </w:rPr>
        <w:t xml:space="preserve"> – </w:t>
      </w:r>
      <w:r>
        <w:rPr>
          <w:rFonts w:hint="eastAsia" w:ascii="Arial" w:hAnsi="Arial" w:eastAsia="宋体" w:cs="Arial"/>
          <w:b/>
          <w:bCs/>
          <w:kern w:val="0"/>
          <w:sz w:val="24"/>
          <w:szCs w:val="24"/>
        </w:rPr>
        <w:t>1</w:t>
      </w:r>
      <w:r>
        <w:rPr>
          <w:rFonts w:hint="eastAsia" w:ascii="Arial" w:hAnsi="Arial" w:eastAsia="宋体" w:cs="Arial"/>
          <w:b/>
          <w:bCs/>
          <w:kern w:val="0"/>
          <w:sz w:val="24"/>
          <w:szCs w:val="24"/>
          <w:lang w:val="en-US" w:eastAsia="zh-CN"/>
        </w:rPr>
        <w:t>8</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November</w:t>
      </w:r>
      <w:r>
        <w:rPr>
          <w:rFonts w:ascii="Arial" w:hAnsi="Arial" w:eastAsia="宋体" w:cs="Arial"/>
          <w:b/>
          <w:bCs/>
          <w:kern w:val="0"/>
          <w:sz w:val="24"/>
          <w:szCs w:val="24"/>
          <w:lang w:val="en-GB"/>
        </w:rPr>
        <w:t>, 2022</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ascii="Arial" w:hAnsi="Arial" w:eastAsia="宋体" w:cs="Arial"/>
          <w:b/>
          <w:bCs/>
          <w:kern w:val="0"/>
          <w:sz w:val="24"/>
          <w:szCs w:val="20"/>
          <w:lang w:val="en-GB"/>
        </w:rPr>
        <w:t>8.</w:t>
      </w:r>
      <w:r>
        <w:rPr>
          <w:rFonts w:hint="eastAsia" w:ascii="Arial" w:hAnsi="Arial" w:eastAsia="宋体" w:cs="Arial"/>
          <w:b/>
          <w:bCs/>
          <w:kern w:val="0"/>
          <w:sz w:val="24"/>
          <w:szCs w:val="20"/>
        </w:rPr>
        <w:t>6</w:t>
      </w:r>
      <w:r>
        <w:rPr>
          <w:rFonts w:ascii="Arial" w:hAnsi="Arial" w:eastAsia="宋体" w:cs="Arial"/>
          <w:b/>
          <w:bCs/>
          <w:kern w:val="0"/>
          <w:sz w:val="24"/>
          <w:szCs w:val="20"/>
          <w:lang w:val="en-GB"/>
        </w:rPr>
        <w:t>.</w:t>
      </w:r>
      <w:r>
        <w:rPr>
          <w:rFonts w:hint="eastAsia" w:ascii="Arial" w:hAnsi="Arial" w:eastAsia="宋体" w:cs="Arial"/>
          <w:b/>
          <w:bCs/>
          <w:kern w:val="0"/>
          <w:sz w:val="24"/>
          <w:szCs w:val="20"/>
        </w:rPr>
        <w:t>3</w:t>
      </w:r>
      <w:r>
        <w:rPr>
          <w:rFonts w:hint="eastAsia" w:ascii="Arial" w:hAnsi="Arial" w:eastAsia="宋体" w:cs="Arial"/>
          <w:b/>
          <w:bCs/>
          <w:kern w:val="0"/>
          <w:sz w:val="24"/>
          <w:szCs w:val="20"/>
          <w:lang w:val="en-US" w:eastAsia="zh-CN"/>
        </w:rPr>
        <w:t>.1</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e</w:t>
      </w:r>
      <w:r>
        <w:rPr>
          <w:rFonts w:hint="eastAsia" w:ascii="Arial" w:hAnsi="Arial" w:eastAsia="宋体" w:cs="Arial"/>
          <w:b/>
          <w:bCs/>
          <w:kern w:val="0"/>
          <w:sz w:val="24"/>
          <w:szCs w:val="20"/>
        </w:rPr>
        <w:t>nhancement</w:t>
      </w:r>
      <w:r>
        <w:rPr>
          <w:rFonts w:hint="eastAsia" w:ascii="Arial" w:hAnsi="Arial" w:eastAsia="宋体" w:cs="Arial"/>
          <w:b/>
          <w:bCs/>
          <w:kern w:val="0"/>
          <w:sz w:val="24"/>
          <w:szCs w:val="20"/>
          <w:lang w:val="en-US" w:eastAsia="zh-CN"/>
        </w:rPr>
        <w:t>s</w:t>
      </w:r>
      <w:r>
        <w:rPr>
          <w:rFonts w:hint="eastAsia" w:ascii="Arial" w:hAnsi="Arial" w:eastAsia="宋体" w:cs="Arial"/>
          <w:b/>
          <w:bCs/>
          <w:kern w:val="0"/>
          <w:sz w:val="24"/>
          <w:szCs w:val="20"/>
        </w:rPr>
        <w:t xml:space="preserve"> for </w:t>
      </w:r>
      <w:r>
        <w:rPr>
          <w:rFonts w:hint="eastAsia" w:ascii="Arial" w:hAnsi="Arial" w:eastAsia="宋体" w:cs="Arial"/>
          <w:b/>
          <w:bCs/>
          <w:kern w:val="0"/>
          <w:sz w:val="24"/>
          <w:szCs w:val="20"/>
          <w:lang w:val="en-US" w:eastAsia="zh-CN"/>
        </w:rPr>
        <w:t>neighbour cell measurements</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IoT_NTN_enh</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1</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Introduction</w:t>
      </w:r>
    </w:p>
    <w:p>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In RAN</w:t>
      </w:r>
      <w:r>
        <w:rPr>
          <w:rFonts w:hint="eastAsia" w:ascii="Arial" w:hAnsi="Arial" w:eastAsia="宋体" w:cs="Arial"/>
          <w:kern w:val="0"/>
          <w:sz w:val="21"/>
          <w:szCs w:val="21"/>
        </w:rPr>
        <w:t>2</w:t>
      </w:r>
      <w:r>
        <w:rPr>
          <w:rFonts w:ascii="Arial" w:hAnsi="Arial" w:eastAsia="宋体" w:cs="Arial"/>
          <w:kern w:val="0"/>
          <w:sz w:val="21"/>
          <w:szCs w:val="21"/>
          <w:lang w:val="en-GB" w:eastAsia="en-US"/>
        </w:rPr>
        <w:t>#</w:t>
      </w:r>
      <w:r>
        <w:rPr>
          <w:rFonts w:hint="eastAsia" w:ascii="Arial" w:hAnsi="Arial" w:eastAsia="宋体" w:cs="Arial"/>
          <w:kern w:val="0"/>
          <w:sz w:val="21"/>
          <w:szCs w:val="21"/>
        </w:rPr>
        <w:t>119</w:t>
      </w:r>
      <w:r>
        <w:rPr>
          <w:rFonts w:hint="eastAsia" w:ascii="Arial" w:hAnsi="Arial" w:eastAsia="宋体" w:cs="Arial"/>
          <w:kern w:val="0"/>
          <w:sz w:val="21"/>
          <w:szCs w:val="21"/>
          <w:lang w:val="en-US" w:eastAsia="zh-CN"/>
        </w:rPr>
        <w:t xml:space="preserve">-e[1] and </w:t>
      </w:r>
      <w:r>
        <w:rPr>
          <w:rFonts w:ascii="Arial" w:hAnsi="Arial" w:eastAsia="宋体" w:cs="Arial"/>
          <w:kern w:val="0"/>
          <w:sz w:val="21"/>
          <w:szCs w:val="21"/>
          <w:lang w:val="en-GB" w:eastAsia="en-US"/>
        </w:rPr>
        <w:t>RAN</w:t>
      </w:r>
      <w:r>
        <w:rPr>
          <w:rFonts w:hint="eastAsia" w:ascii="Arial" w:hAnsi="Arial" w:eastAsia="宋体" w:cs="Arial"/>
          <w:kern w:val="0"/>
          <w:sz w:val="21"/>
          <w:szCs w:val="21"/>
        </w:rPr>
        <w:t>2</w:t>
      </w:r>
      <w:r>
        <w:rPr>
          <w:rFonts w:hint="eastAsia" w:ascii="Arial" w:hAnsi="Arial" w:eastAsia="宋体" w:cs="Arial"/>
          <w:kern w:val="0"/>
          <w:sz w:val="21"/>
          <w:szCs w:val="21"/>
          <w:lang w:val="en-US" w:eastAsia="zh-CN"/>
        </w:rPr>
        <w:t>#119bis</w:t>
      </w:r>
      <w:r>
        <w:rPr>
          <w:rFonts w:hint="eastAsia" w:ascii="Arial" w:hAnsi="Arial" w:eastAsia="宋体" w:cs="Arial"/>
          <w:kern w:val="0"/>
          <w:sz w:val="21"/>
          <w:szCs w:val="21"/>
          <w:lang w:val="en-GB"/>
        </w:rPr>
        <w:t>-e</w:t>
      </w:r>
      <w:r>
        <w:rPr>
          <w:rFonts w:hint="eastAsia" w:ascii="Arial" w:hAnsi="Arial" w:eastAsia="宋体" w:cs="Arial"/>
          <w:kern w:val="0"/>
          <w:sz w:val="21"/>
          <w:szCs w:val="21"/>
          <w:lang w:val="en-US" w:eastAsia="zh-CN"/>
        </w:rPr>
        <w:t>[2] meeting</w:t>
      </w:r>
      <w:r>
        <w:rPr>
          <w:rFonts w:ascii="Arial" w:hAnsi="Arial" w:eastAsia="宋体" w:cs="Arial"/>
          <w:kern w:val="0"/>
          <w:sz w:val="21"/>
          <w:szCs w:val="21"/>
          <w:lang w:val="en-GB" w:eastAsia="en-US"/>
        </w:rPr>
        <w:t xml:space="preserve">, </w:t>
      </w:r>
      <w:r>
        <w:rPr>
          <w:rFonts w:hint="eastAsia" w:ascii="Arial" w:hAnsi="Arial" w:eastAsia="宋体" w:cs="Arial"/>
          <w:kern w:val="0"/>
          <w:sz w:val="21"/>
          <w:szCs w:val="21"/>
        </w:rPr>
        <w:t>the following agreements</w:t>
      </w:r>
      <w:r>
        <w:rPr>
          <w:rFonts w:ascii="Arial" w:hAnsi="Arial" w:eastAsia="宋体" w:cs="Arial"/>
          <w:kern w:val="0"/>
          <w:sz w:val="21"/>
          <w:szCs w:val="21"/>
          <w:lang w:val="en-GB" w:eastAsia="en-US"/>
        </w:rPr>
        <w:t xml:space="preserve"> </w:t>
      </w:r>
      <w:r>
        <w:rPr>
          <w:rFonts w:hint="eastAsia" w:ascii="Arial" w:hAnsi="Arial" w:eastAsia="宋体" w:cs="Arial"/>
          <w:kern w:val="0"/>
          <w:sz w:val="21"/>
          <w:szCs w:val="21"/>
        </w:rPr>
        <w:t>on</w:t>
      </w:r>
      <w:r>
        <w:rPr>
          <w:rFonts w:ascii="Arial" w:hAnsi="Arial" w:eastAsia="宋体" w:cs="Arial"/>
          <w:kern w:val="0"/>
          <w:sz w:val="21"/>
          <w:szCs w:val="21"/>
          <w:lang w:val="en-GB" w:eastAsia="en-US"/>
        </w:rPr>
        <w:t xml:space="preserve"> </w:t>
      </w:r>
      <w:r>
        <w:rPr>
          <w:rFonts w:hint="eastAsia" w:ascii="Arial" w:hAnsi="Arial" w:eastAsia="宋体" w:cs="Arial"/>
          <w:kern w:val="0"/>
          <w:sz w:val="21"/>
          <w:szCs w:val="21"/>
        </w:rPr>
        <w:t>mobility enhancements</w:t>
      </w:r>
      <w:r>
        <w:rPr>
          <w:rFonts w:ascii="Arial" w:hAnsi="Arial" w:eastAsia="宋体" w:cs="Arial"/>
          <w:kern w:val="0"/>
          <w:sz w:val="21"/>
          <w:szCs w:val="21"/>
          <w:lang w:val="en-GB" w:eastAsia="en-US"/>
        </w:rPr>
        <w:t xml:space="preserve"> </w:t>
      </w:r>
      <w:r>
        <w:rPr>
          <w:rFonts w:hint="eastAsia" w:ascii="Arial" w:hAnsi="Arial" w:eastAsia="宋体" w:cs="Arial"/>
          <w:kern w:val="0"/>
          <w:sz w:val="21"/>
          <w:szCs w:val="21"/>
        </w:rPr>
        <w:t>are achieved</w:t>
      </w:r>
      <w:r>
        <w:rPr>
          <w:rFonts w:ascii="Arial" w:hAnsi="Arial" w:eastAsia="宋体" w:cs="Arial"/>
          <w:kern w:val="0"/>
          <w:sz w:val="21"/>
          <w:szCs w:val="21"/>
          <w:lang w:val="en-GB" w:eastAsia="en-US"/>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kinsoku/>
              <w:wordWrap/>
              <w:overflowPunct/>
              <w:topLinePunct w:val="0"/>
              <w:autoSpaceDE/>
              <w:autoSpaceDN/>
              <w:bidi w:val="0"/>
              <w:adjustRightInd/>
              <w:snapToGrid/>
              <w:spacing w:after="60"/>
              <w:textAlignment w:val="auto"/>
              <w:rPr>
                <w:rFonts w:ascii="Arial" w:hAnsi="Arial" w:eastAsia="宋体" w:cs="Arial"/>
                <w:b/>
                <w:bCs/>
                <w:kern w:val="0"/>
                <w:sz w:val="21"/>
                <w:szCs w:val="21"/>
                <w:lang w:val="en-GB" w:eastAsia="en-GB"/>
              </w:rPr>
            </w:pPr>
            <w:r>
              <w:rPr>
                <w:rFonts w:ascii="Arial" w:hAnsi="Arial" w:eastAsia="宋体" w:cs="Arial"/>
                <w:b/>
                <w:bCs/>
                <w:kern w:val="0"/>
                <w:sz w:val="21"/>
                <w:szCs w:val="21"/>
                <w:lang w:val="en-GB" w:eastAsia="en-US"/>
              </w:rPr>
              <w:t>RAN</w:t>
            </w:r>
            <w:r>
              <w:rPr>
                <w:rFonts w:hint="eastAsia" w:ascii="Arial" w:hAnsi="Arial" w:eastAsia="宋体" w:cs="Arial"/>
                <w:b/>
                <w:bCs/>
                <w:kern w:val="0"/>
                <w:sz w:val="21"/>
                <w:szCs w:val="21"/>
              </w:rPr>
              <w:t>2</w:t>
            </w:r>
            <w:r>
              <w:rPr>
                <w:rFonts w:ascii="Arial" w:hAnsi="Arial" w:eastAsia="宋体" w:cs="Arial"/>
                <w:b/>
                <w:bCs/>
                <w:kern w:val="0"/>
                <w:sz w:val="21"/>
                <w:szCs w:val="21"/>
                <w:lang w:val="en-GB" w:eastAsia="en-US"/>
              </w:rPr>
              <w:t>#</w:t>
            </w:r>
            <w:r>
              <w:rPr>
                <w:rFonts w:hint="eastAsia" w:ascii="Arial" w:hAnsi="Arial" w:eastAsia="宋体" w:cs="Arial"/>
                <w:b/>
                <w:bCs/>
                <w:kern w:val="0"/>
                <w:sz w:val="21"/>
                <w:szCs w:val="21"/>
              </w:rPr>
              <w:t>119</w:t>
            </w:r>
            <w:r>
              <w:rPr>
                <w:rFonts w:hint="eastAsia" w:ascii="Arial" w:hAnsi="Arial" w:eastAsia="宋体" w:cs="Arial"/>
                <w:b/>
                <w:bCs/>
                <w:kern w:val="0"/>
                <w:sz w:val="21"/>
                <w:szCs w:val="21"/>
                <w:lang w:val="en-US" w:eastAsia="zh-CN"/>
              </w:rPr>
              <w:t xml:space="preserve">-e </w:t>
            </w:r>
            <w:r>
              <w:rPr>
                <w:rFonts w:hint="eastAsia" w:ascii="Arial" w:hAnsi="Arial" w:eastAsia="宋体" w:cs="Arial"/>
                <w:b/>
                <w:bCs/>
                <w:kern w:val="0"/>
                <w:sz w:val="21"/>
                <w:szCs w:val="21"/>
                <w:lang w:val="en-GB" w:eastAsia="en-GB"/>
              </w:rPr>
              <w:t>Agreements:</w:t>
            </w:r>
          </w:p>
          <w:p>
            <w:pPr>
              <w:keepNext w:val="0"/>
              <w:keepLines w:val="0"/>
              <w:pageBreakBefore w:val="0"/>
              <w:widowControl/>
              <w:numPr>
                <w:ilvl w:val="0"/>
                <w:numId w:val="1"/>
              </w:numPr>
              <w:kinsoku/>
              <w:wordWrap/>
              <w:overflowPunct/>
              <w:topLinePunct w:val="0"/>
              <w:autoSpaceDE/>
              <w:autoSpaceDN/>
              <w:bidi w:val="0"/>
              <w:adjustRightInd/>
              <w:snapToGrid/>
              <w:spacing w:after="60"/>
              <w:textAlignment w:val="auto"/>
              <w:rPr>
                <w:rFonts w:ascii="Arial" w:hAnsi="Arial" w:eastAsia="宋体" w:cs="Arial"/>
                <w:kern w:val="0"/>
                <w:sz w:val="21"/>
                <w:szCs w:val="21"/>
                <w:lang w:val="en-GB" w:eastAsia="en-GB"/>
              </w:rPr>
            </w:pPr>
            <w:r>
              <w:rPr>
                <w:rFonts w:hint="eastAsia" w:ascii="Arial" w:hAnsi="Arial" w:eastAsia="宋体" w:cs="Arial"/>
                <w:kern w:val="0"/>
                <w:sz w:val="21"/>
                <w:szCs w:val="21"/>
                <w:lang w:val="en-GB" w:eastAsia="en-GB"/>
              </w:rPr>
              <w:t>IoT NTN can use the mechanism for neighbour cell measurements in connected mode (specified in Rel-17 for NB-IoT). FFS if any enhancements are needed (e.g. triggers) for both NB-IoT and eMTC.</w:t>
            </w:r>
          </w:p>
          <w:p>
            <w:pPr>
              <w:keepNext w:val="0"/>
              <w:keepLines w:val="0"/>
              <w:pageBreakBefore w:val="0"/>
              <w:widowControl/>
              <w:numPr>
                <w:ilvl w:val="0"/>
                <w:numId w:val="1"/>
              </w:numPr>
              <w:kinsoku/>
              <w:wordWrap/>
              <w:overflowPunct/>
              <w:topLinePunct w:val="0"/>
              <w:autoSpaceDE/>
              <w:autoSpaceDN/>
              <w:bidi w:val="0"/>
              <w:adjustRightInd/>
              <w:snapToGrid/>
              <w:spacing w:after="60"/>
              <w:textAlignment w:val="auto"/>
              <w:rPr>
                <w:rFonts w:ascii="Arial" w:hAnsi="Arial" w:eastAsia="宋体" w:cs="Arial"/>
                <w:kern w:val="0"/>
                <w:sz w:val="21"/>
                <w:szCs w:val="21"/>
                <w:lang w:val="en-GB" w:eastAsia="en-GB"/>
              </w:rPr>
            </w:pPr>
            <w:r>
              <w:rPr>
                <w:rFonts w:hint="eastAsia" w:ascii="Arial" w:hAnsi="Arial" w:eastAsia="宋体" w:cs="Arial"/>
                <w:kern w:val="0"/>
                <w:sz w:val="21"/>
                <w:szCs w:val="21"/>
                <w:lang w:val="en-GB" w:eastAsia="en-GB"/>
              </w:rPr>
              <w:t>RAN2 to continue working on a new time-based trigger for triggering intra and inter frequency measurements in connected mode, e.g. the serving cell is going to stop covering the current area, for both earth-moving and earth-fixed cell (FFS on distance-based trigger)</w:t>
            </w:r>
          </w:p>
          <w:p>
            <w:pPr>
              <w:keepNext w:val="0"/>
              <w:keepLines w:val="0"/>
              <w:pageBreakBefore w:val="0"/>
              <w:widowControl/>
              <w:numPr>
                <w:ilvl w:val="0"/>
                <w:numId w:val="1"/>
              </w:numPr>
              <w:kinsoku/>
              <w:wordWrap/>
              <w:overflowPunct/>
              <w:topLinePunct w:val="0"/>
              <w:autoSpaceDE/>
              <w:autoSpaceDN/>
              <w:bidi w:val="0"/>
              <w:adjustRightInd/>
              <w:snapToGrid/>
              <w:spacing w:after="60"/>
              <w:textAlignment w:val="auto"/>
              <w:rPr>
                <w:rFonts w:ascii="Arial" w:hAnsi="Arial" w:eastAsia="宋体" w:cs="Arial"/>
                <w:kern w:val="0"/>
                <w:sz w:val="21"/>
                <w:szCs w:val="21"/>
                <w:lang w:val="en-GB" w:eastAsia="en-GB"/>
              </w:rPr>
            </w:pPr>
            <w:r>
              <w:rPr>
                <w:rFonts w:hint="eastAsia" w:ascii="Arial" w:hAnsi="Arial" w:eastAsia="宋体" w:cs="Arial"/>
                <w:kern w:val="0"/>
                <w:sz w:val="21"/>
                <w:szCs w:val="21"/>
                <w:lang w:val="en-GB" w:eastAsia="en-GB"/>
              </w:rPr>
              <w:t>CHO enhancements for eMTC NTN (i.e. time/timer based solution) are introduced based on the R17 NR NTN solution. FFS on location-based solution</w:t>
            </w:r>
          </w:p>
          <w:p>
            <w:pPr>
              <w:keepNext w:val="0"/>
              <w:keepLines w:val="0"/>
              <w:pageBreakBefore w:val="0"/>
              <w:widowControl/>
              <w:kinsoku/>
              <w:wordWrap/>
              <w:overflowPunct/>
              <w:topLinePunct w:val="0"/>
              <w:autoSpaceDE/>
              <w:autoSpaceDN/>
              <w:bidi w:val="0"/>
              <w:adjustRightInd/>
              <w:snapToGrid/>
              <w:spacing w:after="60"/>
              <w:textAlignment w:val="auto"/>
              <w:rPr>
                <w:rFonts w:hint="eastAsia" w:ascii="Arial" w:hAnsi="Arial" w:eastAsia="宋体" w:cs="Arial"/>
                <w:kern w:val="0"/>
                <w:sz w:val="21"/>
                <w:szCs w:val="21"/>
                <w:lang w:val="en-GB" w:eastAsia="en-GB"/>
              </w:rPr>
            </w:pPr>
            <w:r>
              <w:rPr>
                <w:rFonts w:hint="eastAsia" w:ascii="Arial" w:hAnsi="Arial" w:eastAsia="宋体" w:cs="Arial"/>
                <w:kern w:val="0"/>
                <w:sz w:val="21"/>
                <w:szCs w:val="21"/>
                <w:lang w:val="en-GB" w:eastAsia="en-GB"/>
              </w:rPr>
              <w:t>Measurement results reporting is not supported in Rel-18 NB-IoT NTN.</w:t>
            </w:r>
          </w:p>
          <w:p>
            <w:pPr>
              <w:keepNext w:val="0"/>
              <w:keepLines w:val="0"/>
              <w:pageBreakBefore w:val="0"/>
              <w:widowControl/>
              <w:kinsoku/>
              <w:wordWrap/>
              <w:overflowPunct/>
              <w:topLinePunct w:val="0"/>
              <w:autoSpaceDE/>
              <w:autoSpaceDN/>
              <w:bidi w:val="0"/>
              <w:adjustRightInd/>
              <w:snapToGrid/>
              <w:spacing w:after="60"/>
              <w:textAlignment w:val="auto"/>
              <w:rPr>
                <w:rFonts w:ascii="Arial" w:hAnsi="Arial" w:eastAsia="宋体" w:cs="Arial"/>
                <w:b/>
                <w:bCs/>
                <w:kern w:val="0"/>
                <w:sz w:val="21"/>
                <w:szCs w:val="21"/>
                <w:lang w:val="en-GB" w:eastAsia="en-GB"/>
              </w:rPr>
            </w:pPr>
            <w:r>
              <w:rPr>
                <w:rFonts w:ascii="Arial" w:hAnsi="Arial" w:eastAsia="宋体" w:cs="Arial"/>
                <w:b/>
                <w:bCs/>
                <w:kern w:val="0"/>
                <w:sz w:val="21"/>
                <w:szCs w:val="21"/>
                <w:lang w:val="en-GB" w:eastAsia="en-US"/>
              </w:rPr>
              <w:t>RAN</w:t>
            </w:r>
            <w:r>
              <w:rPr>
                <w:rFonts w:hint="eastAsia" w:ascii="Arial" w:hAnsi="Arial" w:eastAsia="宋体" w:cs="Arial"/>
                <w:b/>
                <w:bCs/>
                <w:kern w:val="0"/>
                <w:sz w:val="21"/>
                <w:szCs w:val="21"/>
              </w:rPr>
              <w:t>2</w:t>
            </w:r>
            <w:r>
              <w:rPr>
                <w:rFonts w:ascii="Arial" w:hAnsi="Arial" w:eastAsia="宋体" w:cs="Arial"/>
                <w:b/>
                <w:bCs/>
                <w:kern w:val="0"/>
                <w:sz w:val="21"/>
                <w:szCs w:val="21"/>
                <w:lang w:val="en-GB" w:eastAsia="en-US"/>
              </w:rPr>
              <w:t>#</w:t>
            </w:r>
            <w:r>
              <w:rPr>
                <w:rFonts w:hint="eastAsia" w:ascii="Arial" w:hAnsi="Arial" w:eastAsia="宋体" w:cs="Arial"/>
                <w:b/>
                <w:bCs/>
                <w:kern w:val="0"/>
                <w:sz w:val="21"/>
                <w:szCs w:val="21"/>
              </w:rPr>
              <w:t>119</w:t>
            </w:r>
            <w:r>
              <w:rPr>
                <w:rFonts w:hint="eastAsia" w:ascii="Arial" w:hAnsi="Arial" w:eastAsia="宋体" w:cs="Arial"/>
                <w:b/>
                <w:bCs/>
                <w:kern w:val="0"/>
                <w:sz w:val="21"/>
                <w:szCs w:val="21"/>
                <w:lang w:val="en-US" w:eastAsia="zh-CN"/>
              </w:rPr>
              <w:t xml:space="preserve">bis-e </w:t>
            </w:r>
            <w:r>
              <w:rPr>
                <w:rFonts w:hint="eastAsia" w:ascii="Arial" w:hAnsi="Arial" w:eastAsia="宋体" w:cs="Arial"/>
                <w:b/>
                <w:bCs/>
                <w:kern w:val="0"/>
                <w:sz w:val="21"/>
                <w:szCs w:val="21"/>
                <w:lang w:val="en-GB" w:eastAsia="en-GB"/>
              </w:rPr>
              <w:t>Agreements:</w:t>
            </w:r>
          </w:p>
          <w:p>
            <w:pPr>
              <w:keepNext w:val="0"/>
              <w:keepLines w:val="0"/>
              <w:pageBreakBefore w:val="0"/>
              <w:widowControl/>
              <w:numPr>
                <w:ilvl w:val="0"/>
                <w:numId w:val="2"/>
              </w:numPr>
              <w:kinsoku/>
              <w:wordWrap/>
              <w:overflowPunct/>
              <w:topLinePunct w:val="0"/>
              <w:autoSpaceDE/>
              <w:autoSpaceDN/>
              <w:bidi w:val="0"/>
              <w:adjustRightInd/>
              <w:snapToGrid/>
              <w:spacing w:after="60"/>
              <w:textAlignment w:val="auto"/>
              <w:rPr>
                <w:rFonts w:ascii="Arial" w:hAnsi="Arial" w:eastAsia="宋体" w:cs="Arial"/>
                <w:kern w:val="0"/>
                <w:sz w:val="20"/>
                <w:szCs w:val="20"/>
                <w:lang w:val="en-GB" w:eastAsia="en-GB"/>
              </w:rPr>
            </w:pPr>
            <w:r>
              <w:rPr>
                <w:rFonts w:hint="eastAsia" w:ascii="Arial" w:hAnsi="Arial" w:eastAsia="宋体" w:cs="Arial"/>
                <w:kern w:val="0"/>
                <w:sz w:val="21"/>
                <w:szCs w:val="21"/>
                <w:lang w:val="en-GB" w:eastAsia="en-GB"/>
              </w:rPr>
              <w:t>For eMTC over NTN, for both earth-moving and earth-fixed cell scenarios, we introduce location based CHO triggering events</w:t>
            </w:r>
          </w:p>
        </w:tc>
      </w:tr>
    </w:tbl>
    <w:p>
      <w:pPr>
        <w:widowControl/>
        <w:spacing w:beforeLines="50" w:after="180"/>
        <w:rPr>
          <w:rFonts w:ascii="Arial" w:hAnsi="Arial" w:eastAsia="宋体" w:cs="Arial"/>
          <w:kern w:val="0"/>
          <w:sz w:val="21"/>
          <w:szCs w:val="21"/>
          <w:lang w:val="en-GB"/>
        </w:rPr>
      </w:pPr>
      <w:r>
        <w:rPr>
          <w:rFonts w:ascii="Arial" w:hAnsi="Arial" w:eastAsia="宋体" w:cs="Arial"/>
          <w:kern w:val="0"/>
          <w:sz w:val="21"/>
          <w:szCs w:val="21"/>
          <w:lang w:val="en-GB"/>
        </w:rPr>
        <w:t xml:space="preserve">This contribution will discuss the potential </w:t>
      </w:r>
      <w:r>
        <w:rPr>
          <w:rFonts w:hint="eastAsia" w:ascii="Arial" w:hAnsi="Arial" w:eastAsia="宋体" w:cs="Arial"/>
          <w:kern w:val="0"/>
          <w:sz w:val="21"/>
          <w:szCs w:val="21"/>
        </w:rPr>
        <w:t xml:space="preserve">enhancements for </w:t>
      </w:r>
      <w:r>
        <w:rPr>
          <w:rFonts w:hint="eastAsia" w:ascii="Arial" w:hAnsi="Arial" w:eastAsia="宋体" w:cs="Arial"/>
          <w:kern w:val="0"/>
          <w:sz w:val="21"/>
          <w:szCs w:val="21"/>
          <w:lang w:val="en-US" w:eastAsia="zh-CN"/>
        </w:rPr>
        <w:t>neighbour cell measurements</w:t>
      </w:r>
      <w:r>
        <w:rPr>
          <w:rFonts w:ascii="Arial" w:hAnsi="Arial" w:eastAsia="宋体" w:cs="Arial"/>
          <w:kern w:val="0"/>
          <w:sz w:val="21"/>
          <w:szCs w:val="21"/>
          <w:lang w:val="en-GB"/>
        </w:rPr>
        <w:t>.</w:t>
      </w:r>
    </w:p>
    <w:p>
      <w:pPr>
        <w:keepNext/>
        <w:keepLines/>
        <w:widowControl/>
        <w:numPr>
          <w:ilvl w:val="0"/>
          <w:numId w:val="3"/>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Discussion</w:t>
      </w:r>
    </w:p>
    <w:p>
      <w:pPr>
        <w:keepNext/>
        <w:keepLines/>
        <w:widowControl/>
        <w:spacing w:before="180" w:after="180"/>
        <w:ind w:left="1134" w:hanging="1134"/>
        <w:jc w:val="left"/>
        <w:outlineLvl w:val="1"/>
        <w:rPr>
          <w:rFonts w:hint="default" w:ascii="Arial" w:hAnsi="Arial" w:eastAsia="宋体" w:cs="Arial"/>
          <w:kern w:val="0"/>
          <w:sz w:val="32"/>
          <w:szCs w:val="20"/>
          <w:lang w:val="en-US" w:eastAsia="zh-CN"/>
        </w:rPr>
      </w:pPr>
      <w:r>
        <w:rPr>
          <w:rFonts w:ascii="Arial" w:hAnsi="Arial" w:eastAsia="宋体" w:cs="Arial"/>
          <w:kern w:val="0"/>
          <w:sz w:val="32"/>
          <w:szCs w:val="20"/>
          <w:lang w:val="en-GB"/>
        </w:rPr>
        <w:t>2.1</w:t>
      </w:r>
      <w:r>
        <w:rPr>
          <w:rFonts w:ascii="Arial" w:hAnsi="Arial" w:eastAsia="宋体" w:cs="Arial"/>
          <w:kern w:val="0"/>
          <w:sz w:val="32"/>
          <w:szCs w:val="20"/>
          <w:lang w:val="en-GB"/>
        </w:rPr>
        <w:tab/>
      </w:r>
      <w:r>
        <w:rPr>
          <w:rFonts w:hint="eastAsia" w:ascii="Arial" w:hAnsi="Arial" w:eastAsia="宋体" w:cs="Arial"/>
          <w:kern w:val="0"/>
          <w:sz w:val="32"/>
          <w:szCs w:val="20"/>
          <w:lang w:val="en-GB"/>
        </w:rPr>
        <w:t>M</w:t>
      </w:r>
      <w:r>
        <w:rPr>
          <w:rFonts w:hint="eastAsia" w:ascii="Arial" w:hAnsi="Arial" w:eastAsia="宋体" w:cs="Arial"/>
          <w:kern w:val="0"/>
          <w:sz w:val="32"/>
          <w:szCs w:val="20"/>
        </w:rPr>
        <w:t>easurement enhancements</w:t>
      </w:r>
      <w:r>
        <w:rPr>
          <w:rFonts w:hint="eastAsia" w:ascii="Arial" w:hAnsi="Arial" w:eastAsia="宋体" w:cs="Arial"/>
          <w:kern w:val="0"/>
          <w:sz w:val="32"/>
          <w:szCs w:val="20"/>
          <w:lang w:val="en-US" w:eastAsia="zh-CN"/>
        </w:rPr>
        <w:t xml:space="preserve"> for NB-IoT NTN</w:t>
      </w:r>
    </w:p>
    <w:p>
      <w:pPr>
        <w:widowControl/>
        <w:spacing w:after="180"/>
        <w:outlineLvl w:val="2"/>
        <w:rPr>
          <w:rFonts w:hint="eastAsia" w:ascii="Arial" w:hAnsi="Arial" w:eastAsia="宋体" w:cs="Arial"/>
          <w:b/>
          <w:bCs/>
          <w:kern w:val="0"/>
          <w:sz w:val="24"/>
          <w:szCs w:val="24"/>
          <w:lang w:val="en-US" w:eastAsia="zh-CN"/>
        </w:rPr>
      </w:pPr>
      <w:r>
        <w:rPr>
          <w:rFonts w:hint="eastAsia" w:ascii="Arial" w:hAnsi="Arial" w:eastAsia="宋体" w:cs="Arial"/>
          <w:b/>
          <w:bCs/>
          <w:kern w:val="0"/>
          <w:sz w:val="24"/>
          <w:szCs w:val="24"/>
          <w:lang w:val="en-US" w:eastAsia="zh-CN"/>
        </w:rPr>
        <w:t>2.1.1 Time-based trigger</w:t>
      </w:r>
    </w:p>
    <w:p>
      <w:pPr>
        <w:widowControl/>
        <w:spacing w:after="180"/>
        <w:rPr>
          <w:rFonts w:hint="default" w:ascii="Arial" w:hAnsi="Arial" w:eastAsia="宋体" w:cs="Arial"/>
          <w:kern w:val="0"/>
          <w:sz w:val="21"/>
          <w:szCs w:val="21"/>
          <w:lang w:val="en-US" w:eastAsia="zh-CN"/>
        </w:rPr>
      </w:pPr>
      <w:r>
        <w:rPr>
          <w:rFonts w:hint="eastAsia" w:ascii="Arial" w:hAnsi="Arial" w:eastAsia="宋体" w:cs="Arial"/>
          <w:kern w:val="0"/>
          <w:sz w:val="21"/>
          <w:szCs w:val="21"/>
          <w:lang w:val="en-US" w:eastAsia="zh-CN"/>
        </w:rPr>
        <w:t xml:space="preserve">For quasi-earth fixed cell, the network can broadcast the stop serving time </w:t>
      </w:r>
      <w:r>
        <w:rPr>
          <w:rFonts w:hint="eastAsia" w:ascii="Arial" w:hAnsi="Arial" w:eastAsia="宋体" w:cs="Arial"/>
          <w:i/>
          <w:iCs/>
          <w:kern w:val="0"/>
          <w:sz w:val="21"/>
          <w:szCs w:val="21"/>
          <w:lang w:val="en-US" w:eastAsia="zh-CN"/>
        </w:rPr>
        <w:t>t-Service</w:t>
      </w:r>
      <w:r>
        <w:rPr>
          <w:rFonts w:hint="eastAsia" w:ascii="Arial" w:hAnsi="Arial" w:eastAsia="宋体" w:cs="Arial"/>
          <w:kern w:val="0"/>
          <w:sz w:val="21"/>
          <w:szCs w:val="21"/>
          <w:lang w:val="en-US" w:eastAsia="zh-CN"/>
        </w:rPr>
        <w:t xml:space="preserve"> in SIB3-NB. To support of neighbour cell measurements and corresponding measurement triggering before RLF, the NB-IoT UE can start intra-frequency and inter-frequency measurements in connected mode before the </w:t>
      </w:r>
      <w:r>
        <w:rPr>
          <w:rFonts w:hint="eastAsia" w:ascii="Arial" w:hAnsi="Arial" w:eastAsia="宋体" w:cs="Arial"/>
          <w:i/>
          <w:iCs/>
          <w:kern w:val="0"/>
          <w:sz w:val="21"/>
          <w:szCs w:val="21"/>
          <w:lang w:val="en-US" w:eastAsia="zh-CN"/>
        </w:rPr>
        <w:t>t-Service</w:t>
      </w:r>
      <w:r>
        <w:rPr>
          <w:rFonts w:hint="eastAsia" w:ascii="Arial" w:hAnsi="Arial" w:eastAsia="宋体" w:cs="Arial"/>
          <w:kern w:val="0"/>
          <w:sz w:val="21"/>
          <w:szCs w:val="21"/>
          <w:lang w:val="en-US" w:eastAsia="zh-CN"/>
        </w:rPr>
        <w:t xml:space="preserve">. Similar to legacy idle mode measurement, the exact time to start measurement before </w:t>
      </w:r>
      <w:r>
        <w:rPr>
          <w:rFonts w:hint="eastAsia" w:ascii="Arial" w:hAnsi="Arial" w:eastAsia="宋体" w:cs="Arial"/>
          <w:i/>
          <w:iCs/>
          <w:kern w:val="0"/>
          <w:sz w:val="21"/>
          <w:szCs w:val="21"/>
          <w:lang w:val="en-US" w:eastAsia="zh-CN"/>
        </w:rPr>
        <w:t>t-Service</w:t>
      </w:r>
      <w:r>
        <w:rPr>
          <w:rFonts w:hint="eastAsia" w:ascii="Arial" w:hAnsi="Arial" w:eastAsia="宋体" w:cs="Arial"/>
          <w:kern w:val="0"/>
          <w:sz w:val="21"/>
          <w:szCs w:val="21"/>
          <w:lang w:val="en-US" w:eastAsia="zh-CN"/>
        </w:rPr>
        <w:t xml:space="preserve"> can be left to UE implementation.</w:t>
      </w:r>
    </w:p>
    <w:p>
      <w:pPr>
        <w:widowControl/>
        <w:spacing w:after="180"/>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 xml:space="preserve">Proposal 1: For quasi-earth fixed cell, NB-IoT UE can start intra and inter-frequency measurements in connected mode before the </w:t>
      </w:r>
      <w:r>
        <w:rPr>
          <w:rFonts w:hint="eastAsia" w:ascii="Arial" w:hAnsi="Arial" w:eastAsia="宋体" w:cs="Arial"/>
          <w:b/>
          <w:bCs/>
          <w:i/>
          <w:iCs/>
          <w:kern w:val="0"/>
          <w:sz w:val="21"/>
          <w:szCs w:val="21"/>
          <w:lang w:val="en-US" w:eastAsia="zh-CN"/>
        </w:rPr>
        <w:t>t-Service</w:t>
      </w:r>
      <w:r>
        <w:rPr>
          <w:rFonts w:hint="eastAsia" w:ascii="Arial" w:hAnsi="Arial" w:eastAsia="宋体" w:cs="Arial"/>
          <w:b/>
          <w:bCs/>
          <w:i w:val="0"/>
          <w:iCs w:val="0"/>
          <w:kern w:val="0"/>
          <w:sz w:val="21"/>
          <w:szCs w:val="21"/>
          <w:lang w:val="en-US" w:eastAsia="zh-CN"/>
        </w:rPr>
        <w:t xml:space="preserve"> (if present)</w:t>
      </w:r>
      <w:r>
        <w:rPr>
          <w:rFonts w:hint="eastAsia" w:ascii="Arial" w:hAnsi="Arial" w:eastAsia="宋体" w:cs="Arial"/>
          <w:b/>
          <w:bCs/>
          <w:kern w:val="0"/>
          <w:sz w:val="21"/>
          <w:szCs w:val="21"/>
          <w:lang w:val="en-US" w:eastAsia="zh-CN"/>
        </w:rPr>
        <w:t>. The exact time to start measurement can be left to UE implementation.</w:t>
      </w:r>
    </w:p>
    <w:p>
      <w:pPr>
        <w:widowControl/>
        <w:spacing w:after="180"/>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 xml:space="preserve">During the offline discussion in last meeting, some companies proposed to consider the start serving time of neighbor cells for measurements. However, as specified in TS 36.331 [3], the neighbor cell information is only provided for prediction of discontinuous coverage. If RAN2 to introduce the neighbor cell information for measurement in connected mode, the UE complexity and power consumption will be increased since the UE may need to monitor multiple neighbor cells. </w:t>
      </w:r>
    </w:p>
    <w:p>
      <w:pPr>
        <w:widowControl/>
        <w:spacing w:after="180"/>
        <w:rPr>
          <w:rFonts w:hint="default" w:ascii="Arial" w:hAnsi="Arial" w:eastAsia="宋体" w:cs="Arial"/>
          <w:kern w:val="0"/>
          <w:sz w:val="21"/>
          <w:szCs w:val="21"/>
          <w:lang w:val="en-US" w:eastAsia="zh-CN"/>
        </w:rPr>
      </w:pPr>
      <w:r>
        <w:rPr>
          <w:rFonts w:hint="eastAsia" w:ascii="Arial" w:hAnsi="Arial" w:eastAsia="宋体" w:cs="Arial"/>
          <w:kern w:val="0"/>
          <w:sz w:val="21"/>
          <w:szCs w:val="21"/>
          <w:lang w:val="en-US" w:eastAsia="zh-CN"/>
        </w:rPr>
        <w:t xml:space="preserve">In addition, if the start serving time of neighbor cell is earlier than the stop time of serving cell, the UE also can start measurement before the stop time of serving cell. If the start serving time of neighbor cell is later than the stop time of serving cell, the UE will be out of coverage and enter into idle mode. We think the latter is irrelevant to the current objective in WID [4] as follows and should be discussed in sub-agenda for discontinuous coverage. </w:t>
      </w:r>
    </w:p>
    <w:p>
      <w:pPr>
        <w:pStyle w:val="16"/>
        <w:keepNext w:val="0"/>
        <w:keepLines w:val="0"/>
        <w:pageBreakBefore w:val="0"/>
        <w:widowControl w:val="0"/>
        <w:kinsoku/>
        <w:wordWrap/>
        <w:overflowPunct/>
        <w:topLinePunct w:val="0"/>
        <w:autoSpaceDE/>
        <w:autoSpaceDN/>
        <w:bidi w:val="0"/>
        <w:adjustRightInd/>
        <w:snapToGrid/>
        <w:spacing w:after="180"/>
        <w:ind w:left="567" w:hanging="283"/>
        <w:textAlignment w:val="auto"/>
        <w:rPr>
          <w:rFonts w:hint="default" w:ascii="Arial" w:hAnsi="Arial" w:cs="Arial"/>
          <w:i/>
          <w:iCs/>
          <w:sz w:val="21"/>
          <w:szCs w:val="22"/>
        </w:rPr>
      </w:pPr>
      <w:r>
        <w:rPr>
          <w:rFonts w:hint="default" w:ascii="Arial" w:hAnsi="Arial" w:cs="Arial"/>
          <w:i/>
          <w:iCs/>
          <w:sz w:val="21"/>
          <w:szCs w:val="22"/>
        </w:rPr>
        <w:t>-</w:t>
      </w:r>
      <w:r>
        <w:rPr>
          <w:rFonts w:hint="default" w:ascii="Arial" w:hAnsi="Arial" w:cs="Arial"/>
          <w:i/>
          <w:iCs/>
          <w:sz w:val="21"/>
          <w:szCs w:val="22"/>
        </w:rPr>
        <w:tab/>
      </w:r>
      <w:r>
        <w:rPr>
          <w:rFonts w:hint="default" w:ascii="Arial" w:hAnsi="Arial" w:cs="Arial"/>
          <w:i/>
          <w:iCs/>
          <w:sz w:val="21"/>
          <w:szCs w:val="22"/>
        </w:rPr>
        <w:t>Support of neighbour cell measurements and corresponding measurement triggering before RLF, using Rel</w:t>
      </w:r>
      <w:r>
        <w:rPr>
          <w:rFonts w:hint="default" w:ascii="Arial" w:hAnsi="Arial" w:cs="Arial"/>
          <w:i/>
          <w:iCs/>
          <w:sz w:val="21"/>
          <w:szCs w:val="22"/>
        </w:rPr>
        <w:noBreakHyphen/>
      </w:r>
      <w:r>
        <w:rPr>
          <w:rFonts w:hint="default" w:ascii="Arial" w:hAnsi="Arial" w:cs="Arial"/>
          <w:i/>
          <w:iCs/>
          <w:sz w:val="21"/>
          <w:szCs w:val="22"/>
        </w:rPr>
        <w:t>17 (TN) NB-IoT, eMTC as a baseline. [RAN2]</w:t>
      </w:r>
    </w:p>
    <w:p>
      <w:pPr>
        <w:widowControl/>
        <w:spacing w:after="180"/>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Proposal 2: The neighbor cell information is not introduced for neighbour cell measurements and corresponding measurement triggering before RLF.</w:t>
      </w:r>
    </w:p>
    <w:p>
      <w:pPr>
        <w:widowControl/>
        <w:spacing w:after="180"/>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 xml:space="preserve">For earth moving cell, the serving time is different for UEs at different location. We understand that the UE can estimate the stop time of serving cell based on UE location, satellite ephemeris and cell coverage information (e.g. radius or elevation angles). And the UE can start intra and inter-frequency measurements before the stop time of serving cell. To support the estimation, the serving cell coverage information (e.g. radius or elevation angles) can be provided to the UE. And how to estimate the stop time of serving is up to UE implementation. </w:t>
      </w:r>
    </w:p>
    <w:p>
      <w:pPr>
        <w:widowControl/>
        <w:spacing w:after="180"/>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Proposal 3: For earth moving cell, the serving cell coverage information (e.g. radius or elevation angles) can be provided to the UE for estimating the stop time of serving cell. How to estimate is up to UE implementation.</w:t>
      </w:r>
    </w:p>
    <w:p>
      <w:pPr>
        <w:widowControl/>
        <w:spacing w:after="180"/>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Proposal 4: For earth moving cell, NB-IoT UE can start intra and inter-frequency measurements in connected mode before the stop time of serving cell. The exact time to start measurement can be left to UE implementation.</w:t>
      </w:r>
    </w:p>
    <w:p>
      <w:pPr>
        <w:widowControl/>
        <w:spacing w:after="180"/>
        <w:outlineLvl w:val="9"/>
        <w:rPr>
          <w:rFonts w:hint="eastAsia" w:ascii="Arial" w:hAnsi="Arial" w:eastAsia="宋体" w:cs="Arial"/>
          <w:kern w:val="0"/>
          <w:sz w:val="24"/>
          <w:szCs w:val="24"/>
          <w:lang w:val="en-US" w:eastAsia="zh-CN"/>
        </w:rPr>
      </w:pPr>
    </w:p>
    <w:p>
      <w:pPr>
        <w:widowControl/>
        <w:spacing w:after="180"/>
        <w:outlineLvl w:val="2"/>
        <w:rPr>
          <w:rFonts w:hint="eastAsia" w:ascii="Arial" w:hAnsi="Arial" w:eastAsia="宋体" w:cs="Arial"/>
          <w:b/>
          <w:bCs/>
          <w:kern w:val="0"/>
          <w:sz w:val="24"/>
          <w:szCs w:val="24"/>
          <w:lang w:val="en-US" w:eastAsia="zh-CN"/>
        </w:rPr>
      </w:pPr>
      <w:r>
        <w:rPr>
          <w:rFonts w:hint="eastAsia" w:ascii="Arial" w:hAnsi="Arial" w:eastAsia="宋体" w:cs="Arial"/>
          <w:b/>
          <w:bCs/>
          <w:kern w:val="0"/>
          <w:sz w:val="24"/>
          <w:szCs w:val="24"/>
          <w:lang w:val="en-US" w:eastAsia="zh-CN"/>
        </w:rPr>
        <w:t>2.1.2 Distance-based trigger</w:t>
      </w:r>
    </w:p>
    <w:p>
      <w:pPr>
        <w:widowControl/>
        <w:spacing w:after="180"/>
        <w:rPr>
          <w:rFonts w:ascii="Arial" w:hAnsi="Arial" w:eastAsia="宋体" w:cs="Arial"/>
          <w:kern w:val="0"/>
          <w:sz w:val="21"/>
          <w:szCs w:val="21"/>
        </w:rPr>
      </w:pPr>
      <w:r>
        <w:rPr>
          <w:rFonts w:hint="eastAsia" w:ascii="Arial" w:hAnsi="Arial" w:eastAsia="宋体" w:cs="Arial"/>
          <w:kern w:val="0"/>
          <w:sz w:val="21"/>
          <w:szCs w:val="21"/>
        </w:rPr>
        <w:t xml:space="preserve">RAN2 agreed to introduce new time-based trigger for intra </w:t>
      </w:r>
      <w:r>
        <w:rPr>
          <w:rFonts w:hint="eastAsia" w:ascii="Arial" w:hAnsi="Arial" w:eastAsia="宋体" w:cs="Arial"/>
          <w:kern w:val="0"/>
          <w:sz w:val="21"/>
          <w:szCs w:val="21"/>
          <w:lang w:val="en-GB"/>
        </w:rPr>
        <w:t>and inter frequency measurements in connected mode</w:t>
      </w:r>
      <w:r>
        <w:rPr>
          <w:rFonts w:hint="eastAsia" w:ascii="Arial" w:hAnsi="Arial" w:eastAsia="宋体" w:cs="Arial"/>
          <w:kern w:val="0"/>
          <w:sz w:val="21"/>
          <w:szCs w:val="21"/>
        </w:rPr>
        <w:t xml:space="preserve">, and FFS on distance-based trigger in last meeting. </w:t>
      </w:r>
    </w:p>
    <w:p>
      <w:pPr>
        <w:widowControl/>
        <w:spacing w:after="180"/>
        <w:rPr>
          <w:rFonts w:hint="eastAsia" w:ascii="Arial" w:hAnsi="Arial" w:eastAsia="宋体" w:cs="Arial"/>
          <w:kern w:val="0"/>
          <w:sz w:val="21"/>
          <w:szCs w:val="21"/>
        </w:rPr>
      </w:pPr>
      <w:r>
        <w:rPr>
          <w:rFonts w:hint="eastAsia" w:ascii="Arial" w:hAnsi="Arial" w:eastAsia="宋体" w:cs="Arial"/>
          <w:kern w:val="0"/>
          <w:sz w:val="21"/>
          <w:szCs w:val="21"/>
        </w:rPr>
        <w:t xml:space="preserve">RAN1 discussed on optimizing the GNSS operation with sparse use of GNSS and power efficiency for long-term connection </w:t>
      </w:r>
      <w:r>
        <w:rPr>
          <w:rFonts w:hint="eastAsia" w:ascii="Arial" w:hAnsi="Arial" w:eastAsia="宋体" w:cs="Arial"/>
          <w:kern w:val="0"/>
          <w:sz w:val="21"/>
          <w:szCs w:val="21"/>
          <w:lang w:val="en-US" w:eastAsia="zh-CN"/>
        </w:rPr>
        <w:t>since</w:t>
      </w:r>
      <w:r>
        <w:rPr>
          <w:rFonts w:hint="eastAsia" w:ascii="Arial" w:hAnsi="Arial" w:eastAsia="宋体" w:cs="Arial"/>
          <w:kern w:val="0"/>
          <w:sz w:val="21"/>
          <w:szCs w:val="21"/>
        </w:rPr>
        <w:t xml:space="preserve"> RAN1#109-e, and discussed how to perform GNSS measurement in connected mode, e.g. UE re-acquires GNSS position fix with a new gap. Anyway, </w:t>
      </w:r>
      <w:r>
        <w:rPr>
          <w:rFonts w:hint="eastAsia" w:ascii="Arial" w:hAnsi="Arial" w:eastAsia="宋体" w:cs="Arial"/>
          <w:kern w:val="0"/>
          <w:sz w:val="21"/>
          <w:szCs w:val="21"/>
          <w:lang w:val="en-US" w:eastAsia="zh-CN"/>
        </w:rPr>
        <w:t xml:space="preserve">the </w:t>
      </w:r>
      <w:r>
        <w:rPr>
          <w:rFonts w:hint="eastAsia" w:ascii="Arial" w:hAnsi="Arial" w:eastAsia="宋体" w:cs="Arial"/>
          <w:kern w:val="0"/>
          <w:sz w:val="21"/>
          <w:szCs w:val="21"/>
        </w:rPr>
        <w:t xml:space="preserve">UE in Rel-18 will own the capability to re-acquire GNSS position fix in connected mode according to RAN1 progress. </w:t>
      </w:r>
    </w:p>
    <w:p>
      <w:pPr>
        <w:widowControl/>
        <w:spacing w:after="180"/>
        <w:rPr>
          <w:rFonts w:ascii="Arial" w:hAnsi="Arial" w:eastAsia="宋体" w:cs="Arial"/>
          <w:b/>
          <w:kern w:val="0"/>
          <w:sz w:val="21"/>
          <w:szCs w:val="21"/>
        </w:rPr>
      </w:pPr>
      <w:r>
        <w:rPr>
          <w:rFonts w:hint="eastAsia" w:ascii="Arial" w:hAnsi="Arial" w:eastAsia="宋体" w:cs="Arial"/>
          <w:b/>
          <w:kern w:val="0"/>
          <w:sz w:val="21"/>
          <w:szCs w:val="21"/>
        </w:rPr>
        <w:t xml:space="preserve">Observation 1: </w:t>
      </w:r>
      <w:r>
        <w:rPr>
          <w:rFonts w:hint="eastAsia" w:ascii="Arial" w:hAnsi="Arial" w:eastAsia="宋体" w:cs="Arial"/>
          <w:b/>
          <w:kern w:val="0"/>
          <w:sz w:val="21"/>
          <w:szCs w:val="21"/>
          <w:lang w:val="en-US" w:eastAsia="zh-CN"/>
        </w:rPr>
        <w:t xml:space="preserve">The </w:t>
      </w:r>
      <w:r>
        <w:rPr>
          <w:rFonts w:hint="eastAsia" w:ascii="Arial" w:hAnsi="Arial" w:eastAsia="宋体" w:cs="Arial"/>
          <w:b/>
          <w:kern w:val="0"/>
          <w:sz w:val="21"/>
          <w:szCs w:val="21"/>
        </w:rPr>
        <w:t>UE in Rel-18 will be in capacity of re-acquiring GNSS position fix in connected mode according to RAN1 progress.</w:t>
      </w:r>
    </w:p>
    <w:p>
      <w:pPr>
        <w:widowControl/>
        <w:spacing w:after="180"/>
        <w:rPr>
          <w:rFonts w:ascii="Arial" w:hAnsi="Arial" w:eastAsia="宋体" w:cs="Arial"/>
          <w:kern w:val="0"/>
          <w:sz w:val="21"/>
          <w:szCs w:val="21"/>
        </w:rPr>
      </w:pPr>
      <w:r>
        <w:rPr>
          <w:rFonts w:hint="eastAsia" w:ascii="Arial" w:hAnsi="Arial" w:eastAsia="宋体" w:cs="Arial"/>
          <w:kern w:val="0"/>
          <w:sz w:val="21"/>
          <w:szCs w:val="21"/>
        </w:rPr>
        <w:t>Therefore, from our perspective, the distance-based trigger can be also supported for IoT-NTN. This means that the UE can start the neighbour cell measurement when the UE is in the cell edge. The similar mechanism in NR NTN can be reused for IoT-NTN.</w:t>
      </w:r>
    </w:p>
    <w:p>
      <w:pPr>
        <w:widowControl/>
        <w:numPr>
          <w:ilvl w:val="0"/>
          <w:numId w:val="4"/>
        </w:numPr>
        <w:spacing w:after="180"/>
        <w:rPr>
          <w:rFonts w:ascii="Arial" w:hAnsi="Arial" w:eastAsia="宋体" w:cs="Arial"/>
          <w:kern w:val="0"/>
          <w:sz w:val="21"/>
          <w:szCs w:val="21"/>
        </w:rPr>
      </w:pPr>
      <w:r>
        <w:rPr>
          <w:rFonts w:hint="eastAsia" w:ascii="Arial" w:hAnsi="Arial" w:eastAsia="宋体" w:cs="Arial"/>
          <w:kern w:val="0"/>
          <w:sz w:val="21"/>
          <w:szCs w:val="21"/>
        </w:rPr>
        <w:t xml:space="preserve">For quasi-fixed cell scenario, the cell broadcasts a reference point and location-related parameter (a threshold). The UE can decide whether it is in the cell edge based on the reference point and the threshold. </w:t>
      </w:r>
    </w:p>
    <w:p>
      <w:pPr>
        <w:widowControl/>
        <w:numPr>
          <w:ilvl w:val="0"/>
          <w:numId w:val="4"/>
        </w:numPr>
        <w:spacing w:after="180"/>
        <w:rPr>
          <w:rFonts w:ascii="Arial" w:hAnsi="Arial" w:eastAsia="宋体" w:cs="Arial"/>
          <w:kern w:val="0"/>
          <w:sz w:val="21"/>
          <w:szCs w:val="21"/>
        </w:rPr>
      </w:pPr>
      <w:r>
        <w:rPr>
          <w:rFonts w:hint="eastAsia" w:ascii="Arial" w:hAnsi="Arial" w:eastAsia="宋体" w:cs="Arial"/>
          <w:kern w:val="0"/>
          <w:sz w:val="21"/>
          <w:szCs w:val="21"/>
        </w:rPr>
        <w:t>For moving cell scenario, the cell also broadcasts a reference point and a threshold, but the cell center changes with the moving of the satellite. In our understanding, the UE can calculate the current reference point based on the reference point and the ephemeris.</w:t>
      </w:r>
    </w:p>
    <w:p>
      <w:pPr>
        <w:widowControl/>
        <w:spacing w:after="180"/>
        <w:rPr>
          <w:rFonts w:hint="eastAsia" w:ascii="Arial" w:hAnsi="Arial" w:eastAsia="宋体" w:cs="Arial"/>
          <w:b/>
          <w:bCs/>
          <w:kern w:val="0"/>
          <w:sz w:val="21"/>
          <w:szCs w:val="21"/>
        </w:rPr>
      </w:pPr>
      <w:r>
        <w:rPr>
          <w:rFonts w:hint="eastAsia" w:ascii="Arial" w:hAnsi="Arial" w:eastAsia="宋体" w:cs="Arial"/>
          <w:b/>
          <w:bCs/>
          <w:kern w:val="0"/>
          <w:sz w:val="21"/>
          <w:szCs w:val="21"/>
        </w:rPr>
        <w:t xml:space="preserve">Proposal </w:t>
      </w:r>
      <w:r>
        <w:rPr>
          <w:rFonts w:hint="eastAsia" w:ascii="Arial" w:hAnsi="Arial" w:eastAsia="宋体" w:cs="Arial"/>
          <w:b/>
          <w:bCs/>
          <w:kern w:val="0"/>
          <w:sz w:val="21"/>
          <w:szCs w:val="21"/>
          <w:lang w:val="en-US" w:eastAsia="zh-CN"/>
        </w:rPr>
        <w:t>5</w:t>
      </w:r>
      <w:r>
        <w:rPr>
          <w:rFonts w:hint="eastAsia" w:ascii="Arial" w:hAnsi="Arial" w:eastAsia="宋体" w:cs="Arial"/>
          <w:b/>
          <w:bCs/>
          <w:kern w:val="0"/>
          <w:sz w:val="21"/>
          <w:szCs w:val="21"/>
        </w:rPr>
        <w:t xml:space="preserve">: </w:t>
      </w:r>
      <w:r>
        <w:rPr>
          <w:rFonts w:hint="eastAsia" w:ascii="Arial" w:hAnsi="Arial" w:eastAsia="宋体" w:cs="Arial"/>
          <w:b/>
          <w:bCs/>
          <w:kern w:val="0"/>
          <w:sz w:val="21"/>
          <w:szCs w:val="21"/>
          <w:lang w:val="en-US" w:eastAsia="zh-CN"/>
        </w:rPr>
        <w:t xml:space="preserve">The </w:t>
      </w:r>
      <w:r>
        <w:rPr>
          <w:rFonts w:hint="eastAsia" w:ascii="Arial" w:hAnsi="Arial" w:eastAsia="宋体" w:cs="Arial"/>
          <w:b/>
          <w:bCs/>
          <w:kern w:val="0"/>
          <w:sz w:val="21"/>
          <w:szCs w:val="21"/>
        </w:rPr>
        <w:t>distance-based trigger</w:t>
      </w:r>
      <w:r>
        <w:rPr>
          <w:rFonts w:hint="eastAsia" w:ascii="Arial" w:hAnsi="Arial" w:eastAsia="宋体" w:cs="Arial"/>
          <w:b/>
          <w:bCs/>
          <w:kern w:val="0"/>
          <w:sz w:val="21"/>
          <w:szCs w:val="21"/>
          <w:lang w:val="en-US" w:eastAsia="zh-CN"/>
        </w:rPr>
        <w:t xml:space="preserve"> (</w:t>
      </w:r>
      <w:r>
        <w:rPr>
          <w:rFonts w:hint="eastAsia" w:ascii="Arial" w:hAnsi="Arial" w:eastAsia="宋体" w:cs="Arial"/>
          <w:b/>
          <w:bCs/>
          <w:kern w:val="0"/>
          <w:sz w:val="21"/>
          <w:szCs w:val="21"/>
        </w:rPr>
        <w:t>e.g. the UE is in the cell edge</w:t>
      </w:r>
      <w:r>
        <w:rPr>
          <w:rFonts w:hint="eastAsia" w:ascii="Arial" w:hAnsi="Arial" w:eastAsia="宋体" w:cs="Arial"/>
          <w:b/>
          <w:bCs/>
          <w:kern w:val="0"/>
          <w:sz w:val="21"/>
          <w:szCs w:val="21"/>
          <w:lang w:val="en-US" w:eastAsia="zh-CN"/>
        </w:rPr>
        <w:t>)</w:t>
      </w:r>
      <w:r>
        <w:rPr>
          <w:rFonts w:hint="eastAsia" w:ascii="Arial" w:hAnsi="Arial" w:eastAsia="宋体" w:cs="Arial"/>
          <w:b/>
          <w:bCs/>
          <w:kern w:val="0"/>
          <w:sz w:val="21"/>
          <w:szCs w:val="21"/>
        </w:rPr>
        <w:t xml:space="preserve"> for intra and inter frequency measurements in connected mode</w:t>
      </w:r>
      <w:r>
        <w:rPr>
          <w:rFonts w:hint="eastAsia" w:ascii="Arial" w:hAnsi="Arial" w:eastAsia="宋体" w:cs="Arial"/>
          <w:b/>
          <w:bCs/>
          <w:kern w:val="0"/>
          <w:sz w:val="21"/>
          <w:szCs w:val="21"/>
          <w:lang w:val="en-US" w:eastAsia="zh-CN"/>
        </w:rPr>
        <w:t xml:space="preserve"> is supported</w:t>
      </w:r>
      <w:r>
        <w:rPr>
          <w:rFonts w:hint="eastAsia" w:ascii="Arial" w:hAnsi="Arial" w:eastAsia="宋体" w:cs="Arial"/>
          <w:b/>
          <w:bCs/>
          <w:kern w:val="0"/>
          <w:sz w:val="21"/>
          <w:szCs w:val="21"/>
        </w:rPr>
        <w:t xml:space="preserve"> for both quasi-earth fixed cell and moving cell.</w:t>
      </w:r>
    </w:p>
    <w:p>
      <w:pPr>
        <w:widowControl/>
        <w:spacing w:after="180"/>
        <w:rPr>
          <w:rFonts w:hint="eastAsia" w:ascii="Arial" w:hAnsi="Arial" w:eastAsia="宋体" w:cs="Arial"/>
          <w:b/>
          <w:bCs/>
          <w:kern w:val="0"/>
          <w:sz w:val="20"/>
          <w:szCs w:val="20"/>
        </w:rPr>
      </w:pPr>
    </w:p>
    <w:p>
      <w:pPr>
        <w:keepNext/>
        <w:keepLines/>
        <w:widowControl/>
        <w:spacing w:before="180" w:after="180"/>
        <w:ind w:left="1134" w:hanging="1134"/>
        <w:jc w:val="left"/>
        <w:outlineLvl w:val="1"/>
        <w:rPr>
          <w:rFonts w:hint="default" w:ascii="Arial" w:hAnsi="Arial" w:eastAsia="宋体" w:cs="Arial"/>
          <w:kern w:val="0"/>
          <w:sz w:val="32"/>
          <w:szCs w:val="20"/>
          <w:lang w:val="en-US" w:eastAsia="zh-CN"/>
        </w:rPr>
      </w:pPr>
      <w:r>
        <w:rPr>
          <w:rFonts w:ascii="Arial" w:hAnsi="Arial" w:eastAsia="宋体" w:cs="Arial"/>
          <w:kern w:val="0"/>
          <w:sz w:val="32"/>
          <w:szCs w:val="20"/>
          <w:lang w:val="en-GB" w:eastAsia="en-US"/>
        </w:rPr>
        <w:t>2.2</w:t>
      </w:r>
      <w:r>
        <w:rPr>
          <w:rFonts w:ascii="Arial" w:hAnsi="Arial" w:eastAsia="宋体" w:cs="Arial"/>
          <w:kern w:val="0"/>
          <w:sz w:val="32"/>
          <w:szCs w:val="20"/>
          <w:lang w:val="en-GB" w:eastAsia="en-US"/>
        </w:rPr>
        <w:tab/>
      </w:r>
      <w:r>
        <w:rPr>
          <w:rFonts w:hint="eastAsia" w:ascii="Arial" w:hAnsi="Arial" w:eastAsia="宋体" w:cs="Arial"/>
          <w:kern w:val="0"/>
          <w:sz w:val="32"/>
          <w:szCs w:val="20"/>
          <w:lang w:val="en-GB"/>
        </w:rPr>
        <w:t>M</w:t>
      </w:r>
      <w:r>
        <w:rPr>
          <w:rFonts w:hint="eastAsia" w:ascii="Arial" w:hAnsi="Arial" w:eastAsia="宋体" w:cs="Arial"/>
          <w:kern w:val="0"/>
          <w:sz w:val="32"/>
          <w:szCs w:val="20"/>
        </w:rPr>
        <w:t>easurement enhancements</w:t>
      </w:r>
      <w:r>
        <w:rPr>
          <w:rFonts w:hint="eastAsia" w:ascii="Arial" w:hAnsi="Arial" w:eastAsia="宋体" w:cs="Arial"/>
          <w:kern w:val="0"/>
          <w:sz w:val="32"/>
          <w:szCs w:val="20"/>
          <w:lang w:val="en-US" w:eastAsia="zh-CN"/>
        </w:rPr>
        <w:t xml:space="preserve"> for eMTC NTN</w:t>
      </w:r>
    </w:p>
    <w:p>
      <w:pPr>
        <w:widowControl/>
        <w:spacing w:after="180"/>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F</w:t>
      </w:r>
      <w:r>
        <w:rPr>
          <w:rFonts w:hint="eastAsia" w:ascii="Arial" w:hAnsi="Arial" w:eastAsia="宋体" w:cs="Arial"/>
          <w:kern w:val="0"/>
          <w:sz w:val="21"/>
          <w:szCs w:val="21"/>
          <w:lang w:eastAsia="zh-CN"/>
        </w:rPr>
        <w:t>or eMTC UE, it can always perform the neighbor cell measurement in connected</w:t>
      </w:r>
      <w:r>
        <w:rPr>
          <w:rFonts w:hint="eastAsia" w:ascii="Arial" w:hAnsi="Arial" w:eastAsia="宋体" w:cs="Arial"/>
          <w:kern w:val="0"/>
          <w:sz w:val="21"/>
          <w:szCs w:val="21"/>
          <w:lang w:val="en-US" w:eastAsia="zh-CN"/>
        </w:rPr>
        <w:t xml:space="preserve"> mode. In addition,</w:t>
      </w:r>
      <w:r>
        <w:rPr>
          <w:rFonts w:hint="eastAsia" w:ascii="Arial" w:hAnsi="Arial" w:eastAsia="宋体" w:cs="Arial"/>
          <w:kern w:val="0"/>
          <w:sz w:val="21"/>
          <w:szCs w:val="21"/>
          <w:lang w:eastAsia="zh-CN"/>
        </w:rPr>
        <w:t xml:space="preserve"> </w:t>
      </w:r>
      <w:r>
        <w:rPr>
          <w:rFonts w:hint="eastAsia" w:ascii="Arial" w:hAnsi="Arial" w:eastAsia="宋体" w:cs="Arial"/>
          <w:kern w:val="0"/>
          <w:sz w:val="21"/>
          <w:szCs w:val="21"/>
          <w:lang w:val="en-US" w:eastAsia="zh-CN"/>
        </w:rPr>
        <w:t xml:space="preserve">RAN2 has agreed to introduce </w:t>
      </w:r>
      <w:r>
        <w:rPr>
          <w:rFonts w:hint="eastAsia" w:ascii="Arial" w:hAnsi="Arial" w:eastAsia="宋体" w:cs="Arial"/>
          <w:kern w:val="0"/>
          <w:sz w:val="21"/>
          <w:szCs w:val="21"/>
          <w:lang w:eastAsia="zh-CN"/>
        </w:rPr>
        <w:t>the time</w:t>
      </w:r>
      <w:r>
        <w:rPr>
          <w:rFonts w:hint="eastAsia" w:ascii="Arial" w:hAnsi="Arial" w:eastAsia="宋体" w:cs="Arial"/>
          <w:kern w:val="0"/>
          <w:sz w:val="21"/>
          <w:szCs w:val="21"/>
          <w:lang w:val="en-US" w:eastAsia="zh-CN"/>
        </w:rPr>
        <w:t>-</w:t>
      </w:r>
      <w:r>
        <w:rPr>
          <w:rFonts w:hint="eastAsia" w:ascii="Arial" w:hAnsi="Arial" w:eastAsia="宋体" w:cs="Arial"/>
          <w:kern w:val="0"/>
          <w:sz w:val="21"/>
          <w:szCs w:val="21"/>
          <w:lang w:eastAsia="zh-CN"/>
        </w:rPr>
        <w:t>base</w:t>
      </w:r>
      <w:r>
        <w:rPr>
          <w:rFonts w:hint="eastAsia" w:ascii="Arial" w:hAnsi="Arial" w:eastAsia="宋体" w:cs="Arial"/>
          <w:kern w:val="0"/>
          <w:sz w:val="21"/>
          <w:szCs w:val="21"/>
          <w:lang w:val="en-US" w:eastAsia="zh-CN"/>
        </w:rPr>
        <w:t>d</w:t>
      </w:r>
      <w:r>
        <w:rPr>
          <w:rFonts w:hint="eastAsia" w:ascii="Arial" w:hAnsi="Arial" w:eastAsia="宋体" w:cs="Arial"/>
          <w:kern w:val="0"/>
          <w:sz w:val="21"/>
          <w:szCs w:val="21"/>
          <w:lang w:eastAsia="zh-CN"/>
        </w:rPr>
        <w:t xml:space="preserve"> and location</w:t>
      </w:r>
      <w:r>
        <w:rPr>
          <w:rFonts w:hint="eastAsia" w:ascii="Arial" w:hAnsi="Arial" w:eastAsia="宋体" w:cs="Arial"/>
          <w:kern w:val="0"/>
          <w:sz w:val="21"/>
          <w:szCs w:val="21"/>
          <w:lang w:val="en-US" w:eastAsia="zh-CN"/>
        </w:rPr>
        <w:t>-</w:t>
      </w:r>
      <w:r>
        <w:rPr>
          <w:rFonts w:hint="eastAsia" w:ascii="Arial" w:hAnsi="Arial" w:eastAsia="宋体" w:cs="Arial"/>
          <w:kern w:val="0"/>
          <w:sz w:val="21"/>
          <w:szCs w:val="21"/>
          <w:lang w:eastAsia="zh-CN"/>
        </w:rPr>
        <w:t xml:space="preserve">based CHO </w:t>
      </w:r>
      <w:r>
        <w:rPr>
          <w:rFonts w:hint="eastAsia" w:ascii="Arial" w:hAnsi="Arial" w:eastAsia="宋体" w:cs="Arial"/>
          <w:kern w:val="0"/>
          <w:sz w:val="21"/>
          <w:szCs w:val="21"/>
          <w:lang w:val="en-US" w:eastAsia="zh-CN"/>
        </w:rPr>
        <w:t>for eMTC NTN, the UE can perform neighbor cell measurements for CHO.</w:t>
      </w:r>
      <w:r>
        <w:rPr>
          <w:rFonts w:hint="eastAsia" w:ascii="Arial" w:hAnsi="Arial" w:eastAsia="宋体" w:cs="Arial"/>
          <w:kern w:val="0"/>
          <w:sz w:val="21"/>
          <w:szCs w:val="21"/>
          <w:lang w:eastAsia="zh-CN"/>
        </w:rPr>
        <w:t xml:space="preserve"> </w:t>
      </w:r>
      <w:r>
        <w:rPr>
          <w:rFonts w:hint="eastAsia" w:ascii="Arial" w:hAnsi="Arial" w:eastAsia="宋体" w:cs="Arial"/>
          <w:kern w:val="0"/>
          <w:sz w:val="21"/>
          <w:szCs w:val="21"/>
          <w:lang w:val="en-US" w:eastAsia="zh-CN"/>
        </w:rPr>
        <w:t>Therefore</w:t>
      </w:r>
      <w:r>
        <w:rPr>
          <w:rFonts w:hint="eastAsia" w:ascii="Arial" w:hAnsi="Arial" w:eastAsia="宋体" w:cs="Arial"/>
          <w:kern w:val="0"/>
          <w:sz w:val="21"/>
          <w:szCs w:val="21"/>
          <w:lang w:eastAsia="zh-CN"/>
        </w:rPr>
        <w:t>, there is no need to introduce the new trigger for neighbour cell measurement. On the contrary</w:t>
      </w:r>
      <w:r>
        <w:rPr>
          <w:rFonts w:hint="eastAsia" w:ascii="Arial" w:hAnsi="Arial" w:eastAsia="宋体" w:cs="Arial"/>
          <w:kern w:val="0"/>
          <w:sz w:val="21"/>
          <w:szCs w:val="21"/>
          <w:lang w:val="en-US" w:eastAsia="zh-CN"/>
        </w:rPr>
        <w:t xml:space="preserve">, if we introduce the new trigger for measurement, for example, the UE performs neighbor cell measurements when the serving cell is to stop serving the current area or when the UE is in the cell edge, we think the measurement is too late for CHO. </w:t>
      </w:r>
    </w:p>
    <w:p>
      <w:pPr>
        <w:widowControl/>
        <w:spacing w:after="180"/>
        <w:rPr>
          <w:rFonts w:hint="eastAsia"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Proposal 6: For eMTC over NTN, it is proposed not to introduce new trigger for connected mode neighbor cell measurement.</w:t>
      </w:r>
    </w:p>
    <w:p>
      <w:pPr>
        <w:widowControl/>
        <w:spacing w:after="180"/>
        <w:rPr>
          <w:rFonts w:hint="default" w:ascii="Arial" w:hAnsi="Arial" w:eastAsia="宋体" w:cs="Arial"/>
          <w:b/>
          <w:bCs/>
          <w:kern w:val="0"/>
          <w:sz w:val="20"/>
          <w:szCs w:val="20"/>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 xml:space="preserve">Here are the proposals for </w:t>
      </w:r>
      <w:r>
        <w:rPr>
          <w:rFonts w:hint="eastAsia" w:ascii="Arial" w:hAnsi="Arial" w:eastAsia="宋体" w:cs="Arial"/>
          <w:kern w:val="0"/>
          <w:sz w:val="21"/>
          <w:szCs w:val="21"/>
        </w:rPr>
        <w:t>mobility</w:t>
      </w:r>
      <w:r>
        <w:rPr>
          <w:rFonts w:ascii="Arial" w:hAnsi="Arial" w:eastAsia="宋体" w:cs="Arial"/>
          <w:kern w:val="0"/>
          <w:sz w:val="21"/>
          <w:szCs w:val="21"/>
          <w:lang w:val="en-GB" w:eastAsia="en-US"/>
        </w:rPr>
        <w:t xml:space="preserve"> enhancement</w:t>
      </w:r>
      <w:r>
        <w:rPr>
          <w:rFonts w:hint="eastAsia" w:ascii="Arial" w:hAnsi="Arial" w:eastAsia="宋体" w:cs="Arial"/>
          <w:kern w:val="0"/>
          <w:sz w:val="21"/>
          <w:szCs w:val="21"/>
        </w:rPr>
        <w:t>s for IoT-NTN</w:t>
      </w:r>
      <w:r>
        <w:rPr>
          <w:rFonts w:ascii="Arial" w:hAnsi="Arial" w:eastAsia="宋体" w:cs="Arial"/>
          <w:kern w:val="0"/>
          <w:sz w:val="21"/>
          <w:szCs w:val="21"/>
          <w:lang w:val="en-GB" w:eastAsia="en-US"/>
        </w:rPr>
        <w:t>.</w:t>
      </w:r>
    </w:p>
    <w:p>
      <w:pPr>
        <w:widowControl/>
        <w:spacing w:after="180"/>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 xml:space="preserve">Proposal 1: For quasi-earth fixed cell, NB-IoT UE can start intra and inter-frequency measurements in connected mode before the </w:t>
      </w:r>
      <w:r>
        <w:rPr>
          <w:rFonts w:hint="eastAsia" w:ascii="Arial" w:hAnsi="Arial" w:eastAsia="宋体" w:cs="Arial"/>
          <w:b/>
          <w:bCs/>
          <w:i/>
          <w:iCs/>
          <w:kern w:val="0"/>
          <w:sz w:val="21"/>
          <w:szCs w:val="21"/>
          <w:lang w:val="en-US" w:eastAsia="zh-CN"/>
        </w:rPr>
        <w:t>t-Service</w:t>
      </w:r>
      <w:r>
        <w:rPr>
          <w:rFonts w:hint="eastAsia" w:ascii="Arial" w:hAnsi="Arial" w:eastAsia="宋体" w:cs="Arial"/>
          <w:b/>
          <w:bCs/>
          <w:i w:val="0"/>
          <w:iCs w:val="0"/>
          <w:kern w:val="0"/>
          <w:sz w:val="21"/>
          <w:szCs w:val="21"/>
          <w:lang w:val="en-US" w:eastAsia="zh-CN"/>
        </w:rPr>
        <w:t xml:space="preserve"> (if present)</w:t>
      </w:r>
      <w:r>
        <w:rPr>
          <w:rFonts w:hint="eastAsia" w:ascii="Arial" w:hAnsi="Arial" w:eastAsia="宋体" w:cs="Arial"/>
          <w:b/>
          <w:bCs/>
          <w:kern w:val="0"/>
          <w:sz w:val="21"/>
          <w:szCs w:val="21"/>
          <w:lang w:val="en-US" w:eastAsia="zh-CN"/>
        </w:rPr>
        <w:t>. The exact time to start measurement can be left to UE implementation.</w:t>
      </w:r>
    </w:p>
    <w:p>
      <w:pPr>
        <w:widowControl/>
        <w:spacing w:after="180"/>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Proposal 2: The neighbor cell information is not introduced for neighbour cell measurements and corresponding measurement triggering before RLF.</w:t>
      </w:r>
    </w:p>
    <w:p>
      <w:pPr>
        <w:widowControl/>
        <w:spacing w:after="180"/>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Proposal 3: For earth moving cell, the serving cell coverage information (e.g. radius or elevation angles) can be provided to the UE for estimating the stop time of serving cell. How to estimate is up to UE implementation.</w:t>
      </w:r>
    </w:p>
    <w:p>
      <w:pPr>
        <w:widowControl/>
        <w:spacing w:after="180"/>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Proposal 4: For earth moving cell, NB-IoT UE can start intra and inter-frequency measurements in connected mode before the stop time of serving cell. The exact time to start measurement can be left to UE implementation.</w:t>
      </w:r>
    </w:p>
    <w:p>
      <w:pPr>
        <w:widowControl/>
        <w:spacing w:after="180"/>
        <w:rPr>
          <w:rFonts w:ascii="Arial" w:hAnsi="Arial" w:eastAsia="宋体" w:cs="Arial"/>
          <w:b/>
          <w:kern w:val="0"/>
          <w:sz w:val="21"/>
          <w:szCs w:val="21"/>
        </w:rPr>
      </w:pPr>
      <w:r>
        <w:rPr>
          <w:rFonts w:hint="eastAsia" w:ascii="Arial" w:hAnsi="Arial" w:eastAsia="宋体" w:cs="Arial"/>
          <w:b/>
          <w:kern w:val="0"/>
          <w:sz w:val="21"/>
          <w:szCs w:val="21"/>
        </w:rPr>
        <w:t xml:space="preserve">Observation 1: </w:t>
      </w:r>
      <w:r>
        <w:rPr>
          <w:rFonts w:hint="eastAsia" w:ascii="Arial" w:hAnsi="Arial" w:eastAsia="宋体" w:cs="Arial"/>
          <w:b/>
          <w:kern w:val="0"/>
          <w:sz w:val="21"/>
          <w:szCs w:val="21"/>
          <w:lang w:val="en-US" w:eastAsia="zh-CN"/>
        </w:rPr>
        <w:t xml:space="preserve">The </w:t>
      </w:r>
      <w:r>
        <w:rPr>
          <w:rFonts w:hint="eastAsia" w:ascii="Arial" w:hAnsi="Arial" w:eastAsia="宋体" w:cs="Arial"/>
          <w:b/>
          <w:kern w:val="0"/>
          <w:sz w:val="21"/>
          <w:szCs w:val="21"/>
        </w:rPr>
        <w:t>UE in Rel-18 will be in capacity of re-acquiring GNSS position fix in connected mode according to RAN1 progress.</w:t>
      </w:r>
    </w:p>
    <w:p>
      <w:pPr>
        <w:widowControl/>
        <w:spacing w:after="180"/>
        <w:rPr>
          <w:rFonts w:hint="eastAsia" w:ascii="Arial" w:hAnsi="Arial" w:eastAsia="宋体" w:cs="Arial"/>
          <w:b/>
          <w:bCs/>
          <w:kern w:val="0"/>
          <w:sz w:val="21"/>
          <w:szCs w:val="21"/>
        </w:rPr>
      </w:pPr>
      <w:r>
        <w:rPr>
          <w:rFonts w:hint="eastAsia" w:ascii="Arial" w:hAnsi="Arial" w:eastAsia="宋体" w:cs="Arial"/>
          <w:b/>
          <w:bCs/>
          <w:kern w:val="0"/>
          <w:sz w:val="21"/>
          <w:szCs w:val="21"/>
        </w:rPr>
        <w:t xml:space="preserve">Proposal </w:t>
      </w:r>
      <w:r>
        <w:rPr>
          <w:rFonts w:hint="eastAsia" w:ascii="Arial" w:hAnsi="Arial" w:eastAsia="宋体" w:cs="Arial"/>
          <w:b/>
          <w:bCs/>
          <w:kern w:val="0"/>
          <w:sz w:val="21"/>
          <w:szCs w:val="21"/>
          <w:lang w:val="en-US" w:eastAsia="zh-CN"/>
        </w:rPr>
        <w:t>5</w:t>
      </w:r>
      <w:r>
        <w:rPr>
          <w:rFonts w:hint="eastAsia" w:ascii="Arial" w:hAnsi="Arial" w:eastAsia="宋体" w:cs="Arial"/>
          <w:b/>
          <w:bCs/>
          <w:kern w:val="0"/>
          <w:sz w:val="21"/>
          <w:szCs w:val="21"/>
        </w:rPr>
        <w:t xml:space="preserve">: </w:t>
      </w:r>
      <w:r>
        <w:rPr>
          <w:rFonts w:hint="eastAsia" w:ascii="Arial" w:hAnsi="Arial" w:eastAsia="宋体" w:cs="Arial"/>
          <w:b/>
          <w:bCs/>
          <w:kern w:val="0"/>
          <w:sz w:val="21"/>
          <w:szCs w:val="21"/>
          <w:lang w:val="en-US" w:eastAsia="zh-CN"/>
        </w:rPr>
        <w:t xml:space="preserve">The </w:t>
      </w:r>
      <w:r>
        <w:rPr>
          <w:rFonts w:hint="eastAsia" w:ascii="Arial" w:hAnsi="Arial" w:eastAsia="宋体" w:cs="Arial"/>
          <w:b/>
          <w:bCs/>
          <w:kern w:val="0"/>
          <w:sz w:val="21"/>
          <w:szCs w:val="21"/>
        </w:rPr>
        <w:t>distance-based trigger</w:t>
      </w:r>
      <w:r>
        <w:rPr>
          <w:rFonts w:hint="eastAsia" w:ascii="Arial" w:hAnsi="Arial" w:eastAsia="宋体" w:cs="Arial"/>
          <w:b/>
          <w:bCs/>
          <w:kern w:val="0"/>
          <w:sz w:val="21"/>
          <w:szCs w:val="21"/>
          <w:lang w:val="en-US" w:eastAsia="zh-CN"/>
        </w:rPr>
        <w:t xml:space="preserve"> (</w:t>
      </w:r>
      <w:r>
        <w:rPr>
          <w:rFonts w:hint="eastAsia" w:ascii="Arial" w:hAnsi="Arial" w:eastAsia="宋体" w:cs="Arial"/>
          <w:b/>
          <w:bCs/>
          <w:kern w:val="0"/>
          <w:sz w:val="21"/>
          <w:szCs w:val="21"/>
        </w:rPr>
        <w:t>e.g. the UE is in the cell edge</w:t>
      </w:r>
      <w:r>
        <w:rPr>
          <w:rFonts w:hint="eastAsia" w:ascii="Arial" w:hAnsi="Arial" w:eastAsia="宋体" w:cs="Arial"/>
          <w:b/>
          <w:bCs/>
          <w:kern w:val="0"/>
          <w:sz w:val="21"/>
          <w:szCs w:val="21"/>
          <w:lang w:val="en-US" w:eastAsia="zh-CN"/>
        </w:rPr>
        <w:t>)</w:t>
      </w:r>
      <w:r>
        <w:rPr>
          <w:rFonts w:hint="eastAsia" w:ascii="Arial" w:hAnsi="Arial" w:eastAsia="宋体" w:cs="Arial"/>
          <w:b/>
          <w:bCs/>
          <w:kern w:val="0"/>
          <w:sz w:val="21"/>
          <w:szCs w:val="21"/>
        </w:rPr>
        <w:t xml:space="preserve"> for intra and inter frequency measurements in connected mode</w:t>
      </w:r>
      <w:r>
        <w:rPr>
          <w:rFonts w:hint="eastAsia" w:ascii="Arial" w:hAnsi="Arial" w:eastAsia="宋体" w:cs="Arial"/>
          <w:b/>
          <w:bCs/>
          <w:kern w:val="0"/>
          <w:sz w:val="21"/>
          <w:szCs w:val="21"/>
          <w:lang w:val="en-US" w:eastAsia="zh-CN"/>
        </w:rPr>
        <w:t xml:space="preserve"> is supported</w:t>
      </w:r>
      <w:r>
        <w:rPr>
          <w:rFonts w:hint="eastAsia" w:ascii="Arial" w:hAnsi="Arial" w:eastAsia="宋体" w:cs="Arial"/>
          <w:b/>
          <w:bCs/>
          <w:kern w:val="0"/>
          <w:sz w:val="21"/>
          <w:szCs w:val="21"/>
        </w:rPr>
        <w:t xml:space="preserve"> for both quasi-earth fixed cell and moving cell.</w:t>
      </w:r>
    </w:p>
    <w:p>
      <w:pPr>
        <w:widowControl/>
        <w:spacing w:after="180"/>
        <w:rPr>
          <w:rFonts w:hint="eastAsia"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Proposal 6: For eMTC over NTN, it is proposed not to introduce new trigger for connected mode neighbor cell measurement.</w:t>
      </w:r>
    </w:p>
    <w:p>
      <w:pPr>
        <w:widowControl/>
        <w:spacing w:after="180"/>
        <w:rPr>
          <w:rFonts w:ascii="Arial" w:hAnsi="Arial" w:eastAsia="宋体" w:cs="Arial"/>
          <w:kern w:val="0"/>
          <w:sz w:val="20"/>
          <w:szCs w:val="20"/>
          <w:lang w:val="en-GB" w:eastAsia="en-US"/>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5"/>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ascii="Arial" w:hAnsi="Arial" w:eastAsia="宋体" w:cs="Arial"/>
          <w:kern w:val="0"/>
          <w:sz w:val="21"/>
          <w:szCs w:val="21"/>
          <w:lang w:val="en-GB" w:eastAsia="en-US"/>
        </w:rPr>
        <w:t>RP-22</w:t>
      </w:r>
      <w:r>
        <w:rPr>
          <w:rFonts w:hint="eastAsia" w:ascii="Arial" w:hAnsi="Arial" w:eastAsia="宋体" w:cs="Arial"/>
          <w:kern w:val="0"/>
          <w:sz w:val="21"/>
          <w:szCs w:val="21"/>
        </w:rPr>
        <w:t>XXXX</w:t>
      </w:r>
      <w:r>
        <w:rPr>
          <w:rFonts w:ascii="Arial" w:hAnsi="Arial" w:eastAsia="宋体" w:cs="Arial"/>
          <w:kern w:val="0"/>
          <w:sz w:val="21"/>
          <w:szCs w:val="21"/>
          <w:lang w:val="en-GB" w:eastAsia="en-US"/>
        </w:rPr>
        <w:t xml:space="preserve">, </w:t>
      </w:r>
      <w:r>
        <w:rPr>
          <w:rFonts w:hint="eastAsia" w:ascii="Arial" w:hAnsi="Arial" w:eastAsia="宋体" w:cs="Arial"/>
          <w:kern w:val="0"/>
          <w:sz w:val="21"/>
          <w:szCs w:val="21"/>
          <w:lang w:val="en-GB" w:eastAsia="en-US"/>
        </w:rPr>
        <w:t>Report of 3GPP TSG RAN WG2 meeting #119-e, Online</w:t>
      </w:r>
      <w:r>
        <w:rPr>
          <w:rFonts w:hint="eastAsia" w:ascii="Arial" w:hAnsi="Arial" w:eastAsia="宋体" w:cs="Arial"/>
          <w:kern w:val="0"/>
          <w:sz w:val="21"/>
          <w:szCs w:val="21"/>
        </w:rPr>
        <w:t>, 17 - 26 August, 2022</w:t>
      </w:r>
    </w:p>
    <w:p>
      <w:pPr>
        <w:widowControl/>
        <w:numPr>
          <w:ilvl w:val="0"/>
          <w:numId w:val="5"/>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ascii="Arial" w:hAnsi="Arial" w:eastAsia="宋体" w:cs="Arial"/>
          <w:kern w:val="0"/>
          <w:sz w:val="21"/>
          <w:szCs w:val="21"/>
          <w:lang w:val="en-GB" w:eastAsia="en-US"/>
        </w:rPr>
        <w:t>RP-22</w:t>
      </w:r>
      <w:r>
        <w:rPr>
          <w:rFonts w:hint="eastAsia" w:ascii="Arial" w:hAnsi="Arial" w:eastAsia="宋体" w:cs="Arial"/>
          <w:kern w:val="0"/>
          <w:sz w:val="21"/>
          <w:szCs w:val="21"/>
        </w:rPr>
        <w:t>XXXX</w:t>
      </w:r>
      <w:r>
        <w:rPr>
          <w:rFonts w:ascii="Arial" w:hAnsi="Arial" w:eastAsia="宋体" w:cs="Arial"/>
          <w:kern w:val="0"/>
          <w:sz w:val="21"/>
          <w:szCs w:val="21"/>
          <w:lang w:val="en-GB" w:eastAsia="en-US"/>
        </w:rPr>
        <w:t xml:space="preserve">, </w:t>
      </w:r>
      <w:r>
        <w:rPr>
          <w:rFonts w:hint="eastAsia" w:ascii="Arial" w:hAnsi="Arial" w:eastAsia="宋体" w:cs="Arial"/>
          <w:kern w:val="0"/>
          <w:sz w:val="21"/>
          <w:szCs w:val="21"/>
          <w:lang w:val="en-GB" w:eastAsia="en-US"/>
        </w:rPr>
        <w:t>Report of 3GPP TSG RAN WG2 meeting #119</w:t>
      </w:r>
      <w:r>
        <w:rPr>
          <w:rFonts w:hint="eastAsia" w:ascii="Arial" w:hAnsi="Arial" w:eastAsia="宋体" w:cs="Arial"/>
          <w:kern w:val="0"/>
          <w:sz w:val="21"/>
          <w:szCs w:val="21"/>
          <w:lang w:val="en-US" w:eastAsia="zh-CN"/>
        </w:rPr>
        <w:t>bis</w:t>
      </w:r>
      <w:r>
        <w:rPr>
          <w:rFonts w:hint="eastAsia" w:ascii="Arial" w:hAnsi="Arial" w:eastAsia="宋体" w:cs="Arial"/>
          <w:kern w:val="0"/>
          <w:sz w:val="21"/>
          <w:szCs w:val="21"/>
          <w:lang w:val="en-GB" w:eastAsia="en-US"/>
        </w:rPr>
        <w:t>-e, Online</w:t>
      </w:r>
      <w:r>
        <w:rPr>
          <w:rFonts w:hint="eastAsia" w:ascii="Arial" w:hAnsi="Arial" w:eastAsia="宋体" w:cs="Arial"/>
          <w:kern w:val="0"/>
          <w:sz w:val="21"/>
          <w:szCs w:val="21"/>
        </w:rPr>
        <w:t>, 1</w:t>
      </w:r>
      <w:r>
        <w:rPr>
          <w:rFonts w:hint="eastAsia" w:ascii="Arial" w:hAnsi="Arial" w:eastAsia="宋体" w:cs="Arial"/>
          <w:kern w:val="0"/>
          <w:sz w:val="21"/>
          <w:szCs w:val="21"/>
          <w:lang w:val="en-US" w:eastAsia="zh-CN"/>
        </w:rPr>
        <w:t>0</w:t>
      </w:r>
      <w:r>
        <w:rPr>
          <w:rFonts w:hint="eastAsia" w:ascii="Arial" w:hAnsi="Arial" w:eastAsia="宋体" w:cs="Arial"/>
          <w:kern w:val="0"/>
          <w:sz w:val="21"/>
          <w:szCs w:val="21"/>
        </w:rPr>
        <w:t xml:space="preserve"> - </w:t>
      </w:r>
      <w:r>
        <w:rPr>
          <w:rFonts w:hint="eastAsia" w:ascii="Arial" w:hAnsi="Arial" w:eastAsia="宋体" w:cs="Arial"/>
          <w:kern w:val="0"/>
          <w:sz w:val="21"/>
          <w:szCs w:val="21"/>
          <w:lang w:val="en-US" w:eastAsia="zh-CN"/>
        </w:rPr>
        <w:t>19</w:t>
      </w:r>
      <w:r>
        <w:rPr>
          <w:rFonts w:hint="eastAsia" w:ascii="Arial" w:hAnsi="Arial" w:eastAsia="宋体" w:cs="Arial"/>
          <w:kern w:val="0"/>
          <w:sz w:val="21"/>
          <w:szCs w:val="21"/>
        </w:rPr>
        <w:t xml:space="preserve"> </w:t>
      </w:r>
      <w:r>
        <w:rPr>
          <w:rFonts w:hint="eastAsia" w:ascii="Arial" w:hAnsi="Arial" w:eastAsia="宋体" w:cs="Arial"/>
          <w:kern w:val="0"/>
          <w:sz w:val="21"/>
          <w:szCs w:val="21"/>
          <w:lang w:val="en-US" w:eastAsia="zh-CN"/>
        </w:rPr>
        <w:t>October</w:t>
      </w:r>
      <w:r>
        <w:rPr>
          <w:rFonts w:hint="eastAsia" w:ascii="Arial" w:hAnsi="Arial" w:eastAsia="宋体" w:cs="Arial"/>
          <w:kern w:val="0"/>
          <w:sz w:val="21"/>
          <w:szCs w:val="21"/>
        </w:rPr>
        <w:t>, 2022</w:t>
      </w:r>
    </w:p>
    <w:p>
      <w:pPr>
        <w:widowControl/>
        <w:numPr>
          <w:ilvl w:val="0"/>
          <w:numId w:val="5"/>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1"/>
          <w:szCs w:val="21"/>
          <w:lang w:val="en-US" w:eastAsia="zh-CN"/>
        </w:rPr>
        <w:t>TS 36.331, Evolved Universal Terrestrial Radio Access (E-UTRA); Radio Resource Control (RRC); Protocol specification (Release 17)</w:t>
      </w:r>
    </w:p>
    <w:p>
      <w:pPr>
        <w:widowControl/>
        <w:numPr>
          <w:ilvl w:val="0"/>
          <w:numId w:val="5"/>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1"/>
          <w:szCs w:val="21"/>
          <w:lang w:val="en-US" w:eastAsia="zh-CN"/>
        </w:rPr>
        <w:t>RP-221806 Revised WID on IoT NTN enhancements</w:t>
      </w:r>
    </w:p>
    <w:p>
      <w:pPr>
        <w:rPr>
          <w:lang w:val="en-GB"/>
        </w:rPr>
      </w:pPr>
    </w:p>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4719B2"/>
    <w:multiLevelType w:val="singleLevel"/>
    <w:tmpl w:val="DA4719B2"/>
    <w:lvl w:ilvl="0" w:tentative="0">
      <w:start w:val="1"/>
      <w:numFmt w:val="decimal"/>
      <w:suff w:val="space"/>
      <w:lvlText w:val="%1."/>
      <w:lvlJc w:val="left"/>
    </w:lvl>
  </w:abstractNum>
  <w:abstractNum w:abstractNumId="1">
    <w:nsid w:val="2DCAA566"/>
    <w:multiLevelType w:val="singleLevel"/>
    <w:tmpl w:val="2DCAA566"/>
    <w:lvl w:ilvl="0" w:tentative="0">
      <w:start w:val="2"/>
      <w:numFmt w:val="decimal"/>
      <w:lvlText w:val="%1"/>
      <w:lvlJc w:val="left"/>
    </w:lvl>
  </w:abstractNum>
  <w:abstractNum w:abstractNumId="2">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3A971A29"/>
    <w:multiLevelType w:val="singleLevel"/>
    <w:tmpl w:val="3A971A29"/>
    <w:lvl w:ilvl="0" w:tentative="0">
      <w:start w:val="1"/>
      <w:numFmt w:val="decimal"/>
      <w:suff w:val="space"/>
      <w:lvlText w:val="%1."/>
      <w:lvlJc w:val="left"/>
    </w:lvl>
  </w:abstractNum>
  <w:abstractNum w:abstractNumId="4">
    <w:nsid w:val="791BA57B"/>
    <w:multiLevelType w:val="singleLevel"/>
    <w:tmpl w:val="791BA57B"/>
    <w:lvl w:ilvl="0" w:tentative="0">
      <w:start w:val="1"/>
      <w:numFmt w:val="bullet"/>
      <w:lvlText w:val=""/>
      <w:lvlJc w:val="left"/>
      <w:pPr>
        <w:tabs>
          <w:tab w:val="left" w:pos="420"/>
        </w:tabs>
        <w:ind w:left="840" w:hanging="420"/>
      </w:pPr>
      <w:rPr>
        <w:rFonts w:hint="default" w:ascii="Wingdings" w:hAnsi="Wingdings"/>
        <w:sz w:val="15"/>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2"/>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65869"/>
    <w:rsid w:val="00196A53"/>
    <w:rsid w:val="001E2496"/>
    <w:rsid w:val="001F7978"/>
    <w:rsid w:val="002215C2"/>
    <w:rsid w:val="00225D63"/>
    <w:rsid w:val="00234354"/>
    <w:rsid w:val="002650A3"/>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B509A"/>
    <w:rsid w:val="004E4DAD"/>
    <w:rsid w:val="005075A3"/>
    <w:rsid w:val="005179E9"/>
    <w:rsid w:val="00523942"/>
    <w:rsid w:val="00525BBB"/>
    <w:rsid w:val="005C3989"/>
    <w:rsid w:val="005E7E07"/>
    <w:rsid w:val="006100C7"/>
    <w:rsid w:val="00610B28"/>
    <w:rsid w:val="006743B8"/>
    <w:rsid w:val="00680623"/>
    <w:rsid w:val="006A4FB5"/>
    <w:rsid w:val="006B0BFB"/>
    <w:rsid w:val="006D1DA8"/>
    <w:rsid w:val="00721490"/>
    <w:rsid w:val="0074611C"/>
    <w:rsid w:val="007A2ADF"/>
    <w:rsid w:val="007B28E6"/>
    <w:rsid w:val="007E3904"/>
    <w:rsid w:val="00843904"/>
    <w:rsid w:val="00894A29"/>
    <w:rsid w:val="008A5A0B"/>
    <w:rsid w:val="008D110D"/>
    <w:rsid w:val="008E4F97"/>
    <w:rsid w:val="00940BA3"/>
    <w:rsid w:val="00950D36"/>
    <w:rsid w:val="00956A27"/>
    <w:rsid w:val="00975D83"/>
    <w:rsid w:val="00982B04"/>
    <w:rsid w:val="009924F0"/>
    <w:rsid w:val="009A6D82"/>
    <w:rsid w:val="009D3F27"/>
    <w:rsid w:val="009E36A7"/>
    <w:rsid w:val="009E6BC9"/>
    <w:rsid w:val="00A350C4"/>
    <w:rsid w:val="00AC3458"/>
    <w:rsid w:val="00AD67D5"/>
    <w:rsid w:val="00AD727F"/>
    <w:rsid w:val="00B24F10"/>
    <w:rsid w:val="00B73C33"/>
    <w:rsid w:val="00B846FB"/>
    <w:rsid w:val="00B84BEF"/>
    <w:rsid w:val="00BA3C94"/>
    <w:rsid w:val="00BB6E56"/>
    <w:rsid w:val="00C03FFA"/>
    <w:rsid w:val="00C12245"/>
    <w:rsid w:val="00C53226"/>
    <w:rsid w:val="00C95F8C"/>
    <w:rsid w:val="00CD18ED"/>
    <w:rsid w:val="00CF2DAA"/>
    <w:rsid w:val="00D66BFB"/>
    <w:rsid w:val="00D9059D"/>
    <w:rsid w:val="00DA12B1"/>
    <w:rsid w:val="00DA6656"/>
    <w:rsid w:val="00DE5620"/>
    <w:rsid w:val="00E513DD"/>
    <w:rsid w:val="00E82408"/>
    <w:rsid w:val="00ED765C"/>
    <w:rsid w:val="00EF5EE1"/>
    <w:rsid w:val="00F02DFE"/>
    <w:rsid w:val="00F05AB0"/>
    <w:rsid w:val="00F0642D"/>
    <w:rsid w:val="00F0760F"/>
    <w:rsid w:val="00F314FF"/>
    <w:rsid w:val="00F33D13"/>
    <w:rsid w:val="00F47D8B"/>
    <w:rsid w:val="00F627D0"/>
    <w:rsid w:val="00F73587"/>
    <w:rsid w:val="00F841B6"/>
    <w:rsid w:val="00F92EA1"/>
    <w:rsid w:val="00FA19BF"/>
    <w:rsid w:val="00FE5D56"/>
    <w:rsid w:val="01041DE1"/>
    <w:rsid w:val="01225F6B"/>
    <w:rsid w:val="01D84BA8"/>
    <w:rsid w:val="02DA7E74"/>
    <w:rsid w:val="038A1F16"/>
    <w:rsid w:val="04A37BF0"/>
    <w:rsid w:val="08CA2A7A"/>
    <w:rsid w:val="0A1469F1"/>
    <w:rsid w:val="0A173D8A"/>
    <w:rsid w:val="0AC90261"/>
    <w:rsid w:val="0B436F70"/>
    <w:rsid w:val="0CBB64AC"/>
    <w:rsid w:val="0CC05689"/>
    <w:rsid w:val="0CD5224C"/>
    <w:rsid w:val="0F95650E"/>
    <w:rsid w:val="110171B2"/>
    <w:rsid w:val="11CB5693"/>
    <w:rsid w:val="13392934"/>
    <w:rsid w:val="14E836E8"/>
    <w:rsid w:val="150054C7"/>
    <w:rsid w:val="15BE553B"/>
    <w:rsid w:val="16A3322F"/>
    <w:rsid w:val="17CD5A7B"/>
    <w:rsid w:val="187A66B9"/>
    <w:rsid w:val="1E2256DD"/>
    <w:rsid w:val="1EB965F4"/>
    <w:rsid w:val="1FAE4963"/>
    <w:rsid w:val="1FE43F83"/>
    <w:rsid w:val="20F63843"/>
    <w:rsid w:val="212D209C"/>
    <w:rsid w:val="222857CE"/>
    <w:rsid w:val="2AA9463F"/>
    <w:rsid w:val="2C7B2710"/>
    <w:rsid w:val="2CEB5D3E"/>
    <w:rsid w:val="31AC0EA0"/>
    <w:rsid w:val="36E0052C"/>
    <w:rsid w:val="36F84B57"/>
    <w:rsid w:val="374C0896"/>
    <w:rsid w:val="38FC32F5"/>
    <w:rsid w:val="39030A9D"/>
    <w:rsid w:val="3ECD0998"/>
    <w:rsid w:val="3ED508CA"/>
    <w:rsid w:val="3ED734A6"/>
    <w:rsid w:val="3F2932B0"/>
    <w:rsid w:val="3FA42170"/>
    <w:rsid w:val="3FAF36DB"/>
    <w:rsid w:val="406A14B3"/>
    <w:rsid w:val="41103459"/>
    <w:rsid w:val="43146FF6"/>
    <w:rsid w:val="449C7E1E"/>
    <w:rsid w:val="45797337"/>
    <w:rsid w:val="4599227F"/>
    <w:rsid w:val="46FE4C6E"/>
    <w:rsid w:val="47584A9D"/>
    <w:rsid w:val="47881AEB"/>
    <w:rsid w:val="47C04462"/>
    <w:rsid w:val="47D544D4"/>
    <w:rsid w:val="49957D19"/>
    <w:rsid w:val="49BE175E"/>
    <w:rsid w:val="4C173EDE"/>
    <w:rsid w:val="4C740BA8"/>
    <w:rsid w:val="4E6D6F61"/>
    <w:rsid w:val="4F201BB4"/>
    <w:rsid w:val="4FC1058D"/>
    <w:rsid w:val="4FED3084"/>
    <w:rsid w:val="506A04F4"/>
    <w:rsid w:val="518C5D3B"/>
    <w:rsid w:val="51FA450E"/>
    <w:rsid w:val="52291916"/>
    <w:rsid w:val="528B1069"/>
    <w:rsid w:val="53D170F4"/>
    <w:rsid w:val="56581D59"/>
    <w:rsid w:val="567360E6"/>
    <w:rsid w:val="58B12E03"/>
    <w:rsid w:val="58B3131C"/>
    <w:rsid w:val="58DD7AFF"/>
    <w:rsid w:val="59C5081D"/>
    <w:rsid w:val="5A2F5AF5"/>
    <w:rsid w:val="5AFF7905"/>
    <w:rsid w:val="5B492C91"/>
    <w:rsid w:val="5B8C1E41"/>
    <w:rsid w:val="5F600D4E"/>
    <w:rsid w:val="609F186D"/>
    <w:rsid w:val="629A11E5"/>
    <w:rsid w:val="646B2FA5"/>
    <w:rsid w:val="660E4242"/>
    <w:rsid w:val="677038E2"/>
    <w:rsid w:val="69293200"/>
    <w:rsid w:val="694347AF"/>
    <w:rsid w:val="694F06EB"/>
    <w:rsid w:val="6A063BDC"/>
    <w:rsid w:val="6BE35659"/>
    <w:rsid w:val="70FD12D6"/>
    <w:rsid w:val="711E22C5"/>
    <w:rsid w:val="732872C5"/>
    <w:rsid w:val="74EB5441"/>
    <w:rsid w:val="771976F5"/>
    <w:rsid w:val="77447586"/>
    <w:rsid w:val="79C61A14"/>
    <w:rsid w:val="7BD13B30"/>
    <w:rsid w:val="7D8354E8"/>
    <w:rsid w:val="7E886BD8"/>
    <w:rsid w:val="7F7A668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8"/>
    <w:semiHidden/>
    <w:unhideWhenUsed/>
    <w:qFormat/>
    <w:uiPriority w:val="99"/>
    <w:rPr>
      <w:rFonts w:ascii="宋体" w:eastAsia="宋体"/>
      <w:sz w:val="18"/>
      <w:szCs w:val="18"/>
    </w:rPr>
  </w:style>
  <w:style w:type="paragraph" w:styleId="3">
    <w:name w:val="Balloon Text"/>
    <w:basedOn w:val="1"/>
    <w:link w:val="19"/>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w:basedOn w:val="1"/>
    <w:qFormat/>
    <w:uiPriority w:val="0"/>
    <w:pPr>
      <w:ind w:left="568" w:hanging="284"/>
    </w:pPr>
  </w:style>
  <w:style w:type="table" w:styleId="8">
    <w:name w:val="Table Grid"/>
    <w:basedOn w:val="7"/>
    <w:qFormat/>
    <w:uiPriority w:val="0"/>
    <w:rPr>
      <w:rFonts w:ascii="Times New Roman" w:hAnsi="Times New Roman"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qFormat/>
    <w:uiPriority w:val="99"/>
    <w:rPr>
      <w:color w:val="0000FF"/>
      <w:u w:val="single"/>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customStyle="1" w:styleId="13">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4">
    <w:name w:val="TF"/>
    <w:basedOn w:val="13"/>
    <w:qFormat/>
    <w:uiPriority w:val="0"/>
    <w:pPr>
      <w:keepNext w:val="0"/>
      <w:spacing w:before="0" w:after="240"/>
    </w:pPr>
  </w:style>
  <w:style w:type="paragraph" w:styleId="15">
    <w:name w:val="List Paragraph"/>
    <w:basedOn w:val="1"/>
    <w:qFormat/>
    <w:uiPriority w:val="34"/>
    <w:pPr>
      <w:ind w:firstLine="420" w:firstLineChars="200"/>
    </w:pPr>
  </w:style>
  <w:style w:type="paragraph" w:customStyle="1" w:styleId="16">
    <w:name w:val="B1"/>
    <w:basedOn w:val="6"/>
    <w:qFormat/>
    <w:uiPriority w:val="0"/>
  </w:style>
  <w:style w:type="paragraph" w:customStyle="1" w:styleId="17">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8">
    <w:name w:val="文档结构图 Char"/>
    <w:basedOn w:val="9"/>
    <w:link w:val="2"/>
    <w:semiHidden/>
    <w:qFormat/>
    <w:uiPriority w:val="99"/>
    <w:rPr>
      <w:rFonts w:ascii="宋体" w:eastAsia="宋体"/>
      <w:kern w:val="2"/>
      <w:sz w:val="18"/>
      <w:szCs w:val="18"/>
    </w:rPr>
  </w:style>
  <w:style w:type="character" w:customStyle="1" w:styleId="19">
    <w:name w:val="批注框文本 Char"/>
    <w:basedOn w:val="9"/>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690</Words>
  <Characters>3936</Characters>
  <Lines>32</Lines>
  <Paragraphs>9</Paragraphs>
  <TotalTime>3</TotalTime>
  <ScaleCrop>false</ScaleCrop>
  <LinksUpToDate>false</LinksUpToDate>
  <CharactersWithSpaces>4617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2022-09-30T07:00:00Z</dcterms:created>
  <dc:creator>CMCC_TJY</dc:creator>
  <cp:lastModifiedBy>cmcc_TJY</cp:lastModifiedBy>
  <dcterms:modified xsi:type="dcterms:W3CDTF">2022-11-04T07:03:58Z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C4BFBDF0754647989A975FFADBC4E8DD</vt:lpwstr>
  </property>
</Properties>
</file>